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3141A" w14:textId="325E6019" w:rsidR="009B27BE" w:rsidRPr="00BD2A24" w:rsidRDefault="00CA28AB" w:rsidP="00920831">
      <w:pPr>
        <w:spacing w:after="0" w:line="240" w:lineRule="auto"/>
        <w:jc w:val="center"/>
        <w:rPr>
          <w:rFonts w:ascii="Times New Roman" w:hAnsi="Times New Roman" w:cs="Times New Roman"/>
          <w:b/>
          <w:bCs/>
          <w:sz w:val="24"/>
          <w:szCs w:val="24"/>
        </w:rPr>
      </w:pPr>
      <w:r w:rsidRPr="00BD2A24">
        <w:rPr>
          <w:rFonts w:ascii="Times New Roman" w:hAnsi="Times New Roman" w:cs="Times New Roman"/>
          <w:b/>
          <w:bCs/>
          <w:sz w:val="24"/>
          <w:szCs w:val="24"/>
        </w:rPr>
        <w:t>Latvijas Bankas noteikumu projekta</w:t>
      </w:r>
      <w:r w:rsidR="001A0F0C" w:rsidRPr="00BD2A24">
        <w:rPr>
          <w:rFonts w:ascii="Times New Roman" w:hAnsi="Times New Roman" w:cs="Times New Roman"/>
          <w:b/>
          <w:bCs/>
          <w:sz w:val="24"/>
          <w:szCs w:val="24"/>
        </w:rPr>
        <w:t xml:space="preserve"> "</w:t>
      </w:r>
      <w:r w:rsidR="00FB0B86">
        <w:rPr>
          <w:rFonts w:ascii="Times New Roman" w:hAnsi="Times New Roman" w:cs="Times New Roman"/>
          <w:b/>
          <w:bCs/>
          <w:sz w:val="24"/>
          <w:szCs w:val="24"/>
        </w:rPr>
        <w:t xml:space="preserve">Grozījumi </w:t>
      </w:r>
      <w:r w:rsidR="00FB0B86" w:rsidRPr="00FB0B86">
        <w:rPr>
          <w:rFonts w:ascii="Times New Roman" w:hAnsi="Times New Roman" w:cs="Times New Roman"/>
          <w:b/>
          <w:bCs/>
          <w:sz w:val="24"/>
          <w:szCs w:val="24"/>
        </w:rPr>
        <w:t>Latvijas Bankas 2024.</w:t>
      </w:r>
      <w:r w:rsidR="00FB0B86">
        <w:rPr>
          <w:rFonts w:ascii="Times New Roman" w:hAnsi="Times New Roman" w:cs="Times New Roman"/>
          <w:b/>
          <w:bCs/>
          <w:sz w:val="24"/>
          <w:szCs w:val="24"/>
        </w:rPr>
        <w:t> </w:t>
      </w:r>
      <w:r w:rsidR="00FB0B86" w:rsidRPr="00FB0B86">
        <w:rPr>
          <w:rFonts w:ascii="Times New Roman" w:hAnsi="Times New Roman" w:cs="Times New Roman"/>
          <w:b/>
          <w:bCs/>
          <w:sz w:val="24"/>
          <w:szCs w:val="24"/>
        </w:rPr>
        <w:t>gada 9.</w:t>
      </w:r>
      <w:r w:rsidR="00FB0B86">
        <w:rPr>
          <w:rFonts w:ascii="Times New Roman" w:hAnsi="Times New Roman" w:cs="Times New Roman"/>
          <w:b/>
          <w:bCs/>
          <w:sz w:val="24"/>
          <w:szCs w:val="24"/>
        </w:rPr>
        <w:t> </w:t>
      </w:r>
      <w:r w:rsidR="00FB0B86" w:rsidRPr="00FB0B86">
        <w:rPr>
          <w:rFonts w:ascii="Times New Roman" w:hAnsi="Times New Roman" w:cs="Times New Roman"/>
          <w:b/>
          <w:bCs/>
          <w:sz w:val="24"/>
          <w:szCs w:val="24"/>
        </w:rPr>
        <w:t>decembra noteikum</w:t>
      </w:r>
      <w:r w:rsidR="00FB0B86">
        <w:rPr>
          <w:rFonts w:ascii="Times New Roman" w:hAnsi="Times New Roman" w:cs="Times New Roman"/>
          <w:b/>
          <w:bCs/>
          <w:sz w:val="24"/>
          <w:szCs w:val="24"/>
        </w:rPr>
        <w:t>os</w:t>
      </w:r>
      <w:r w:rsidR="00FB0B86" w:rsidRPr="00FB0B86">
        <w:rPr>
          <w:rFonts w:ascii="Times New Roman" w:hAnsi="Times New Roman" w:cs="Times New Roman"/>
          <w:b/>
          <w:bCs/>
          <w:sz w:val="24"/>
          <w:szCs w:val="24"/>
        </w:rPr>
        <w:t xml:space="preserve"> Nr.</w:t>
      </w:r>
      <w:r w:rsidR="00FB0B86">
        <w:rPr>
          <w:rFonts w:ascii="Times New Roman" w:hAnsi="Times New Roman" w:cs="Times New Roman"/>
          <w:b/>
          <w:bCs/>
          <w:sz w:val="24"/>
          <w:szCs w:val="24"/>
        </w:rPr>
        <w:t> </w:t>
      </w:r>
      <w:r w:rsidR="00FB0B86" w:rsidRPr="00FB0B86">
        <w:rPr>
          <w:rFonts w:ascii="Times New Roman" w:hAnsi="Times New Roman" w:cs="Times New Roman"/>
          <w:b/>
          <w:bCs/>
          <w:sz w:val="24"/>
          <w:szCs w:val="24"/>
        </w:rPr>
        <w:t xml:space="preserve">367 </w:t>
      </w:r>
      <w:r w:rsidR="00FB0B86">
        <w:rPr>
          <w:rFonts w:ascii="Times New Roman" w:hAnsi="Times New Roman" w:cs="Times New Roman"/>
          <w:b/>
          <w:bCs/>
          <w:sz w:val="24"/>
          <w:szCs w:val="24"/>
        </w:rPr>
        <w:t>"</w:t>
      </w:r>
      <w:r w:rsidR="001A0F0C" w:rsidRPr="00BD2A24">
        <w:rPr>
          <w:rFonts w:ascii="Times New Roman" w:hAnsi="Times New Roman" w:cs="Times New Roman"/>
          <w:b/>
          <w:bCs/>
          <w:sz w:val="24"/>
          <w:szCs w:val="24"/>
        </w:rPr>
        <w:t>Noteikumi par fondu apvienošanu, galvenās un pakārtotās struktūras darījumiem un ieguldījumu apliecību izplatīšanas kārtību"</w:t>
      </w:r>
      <w:r w:rsidR="00FB0B86">
        <w:rPr>
          <w:rFonts w:ascii="Times New Roman" w:hAnsi="Times New Roman" w:cs="Times New Roman"/>
          <w:b/>
          <w:bCs/>
          <w:sz w:val="24"/>
          <w:szCs w:val="24"/>
        </w:rPr>
        <w:t>"</w:t>
      </w:r>
      <w:r w:rsidR="003B481B" w:rsidRPr="00BD2A24">
        <w:rPr>
          <w:rFonts w:ascii="Times New Roman" w:hAnsi="Times New Roman" w:cs="Times New Roman"/>
          <w:b/>
          <w:bCs/>
          <w:sz w:val="24"/>
          <w:szCs w:val="24"/>
        </w:rPr>
        <w:t xml:space="preserve"> anotācija</w:t>
      </w:r>
    </w:p>
    <w:p w14:paraId="39970588" w14:textId="77777777" w:rsidR="003B481B" w:rsidRPr="00BD2A24" w:rsidRDefault="003B481B" w:rsidP="009F04B3">
      <w:pPr>
        <w:spacing w:after="0" w:line="240" w:lineRule="auto"/>
        <w:jc w:val="center"/>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BD2A24" w14:paraId="4373DCD2" w14:textId="77777777" w:rsidTr="009F04B3">
        <w:trPr>
          <w:trHeight w:val="869"/>
        </w:trPr>
        <w:tc>
          <w:tcPr>
            <w:tcW w:w="1796" w:type="pct"/>
            <w:hideMark/>
          </w:tcPr>
          <w:p w14:paraId="578A6EE9"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Nosaukums</w:t>
            </w:r>
          </w:p>
          <w:p w14:paraId="74CDBA2E"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5A84D240" w14:textId="42307A04" w:rsidR="00E53DE9" w:rsidRPr="00BD2A24" w:rsidRDefault="00A962DD" w:rsidP="00BA7136">
            <w:pPr>
              <w:spacing w:after="0" w:line="240" w:lineRule="auto"/>
              <w:jc w:val="both"/>
              <w:rPr>
                <w:rFonts w:ascii="Times New Roman" w:eastAsia="Times New Roman" w:hAnsi="Times New Roman" w:cs="Times New Roman"/>
                <w:sz w:val="24"/>
                <w:szCs w:val="24"/>
                <w:lang w:eastAsia="lv-LV"/>
              </w:rPr>
            </w:pPr>
            <w:r w:rsidRPr="00604D84">
              <w:rPr>
                <w:rFonts w:ascii="Times New Roman" w:hAnsi="Times New Roman" w:cs="Times New Roman"/>
                <w:sz w:val="24"/>
                <w:szCs w:val="24"/>
              </w:rPr>
              <w:t>Grozījumi Latvijas Bankas 2024. gada 9. decembra noteikumos Nr. 367 "</w:t>
            </w:r>
            <w:r w:rsidR="00232917" w:rsidRPr="00BD2A24">
              <w:rPr>
                <w:rFonts w:ascii="Times New Roman" w:eastAsia="Times New Roman" w:hAnsi="Times New Roman" w:cs="Times New Roman"/>
                <w:sz w:val="24"/>
                <w:szCs w:val="24"/>
                <w:lang w:eastAsia="lv-LV"/>
              </w:rPr>
              <w:t>N</w:t>
            </w:r>
            <w:r w:rsidR="00FB5CAA" w:rsidRPr="00BD2A24">
              <w:rPr>
                <w:rFonts w:ascii="Times New Roman" w:eastAsia="Times New Roman" w:hAnsi="Times New Roman" w:cs="Times New Roman"/>
                <w:sz w:val="24"/>
                <w:szCs w:val="24"/>
                <w:lang w:eastAsia="lv-LV"/>
              </w:rPr>
              <w:t>oteikumi par fondu apvienošanu, galvenās un pakārtotās struktūras darījumiem un ieguldījumu apliecību</w:t>
            </w:r>
            <w:r w:rsidR="00BA7136" w:rsidRPr="00BD2A24">
              <w:rPr>
                <w:rFonts w:ascii="Times New Roman" w:eastAsia="Times New Roman" w:hAnsi="Times New Roman" w:cs="Times New Roman"/>
                <w:sz w:val="24"/>
                <w:szCs w:val="24"/>
                <w:lang w:eastAsia="lv-LV"/>
              </w:rPr>
              <w:t xml:space="preserve"> </w:t>
            </w:r>
            <w:r w:rsidR="00FB5CAA" w:rsidRPr="00BD2A24">
              <w:rPr>
                <w:rFonts w:ascii="Times New Roman" w:eastAsia="Times New Roman" w:hAnsi="Times New Roman" w:cs="Times New Roman"/>
                <w:sz w:val="24"/>
                <w:szCs w:val="24"/>
                <w:lang w:eastAsia="lv-LV"/>
              </w:rPr>
              <w:t>izplatīšanas kārtību</w:t>
            </w:r>
            <w:r>
              <w:rPr>
                <w:rFonts w:ascii="Times New Roman" w:eastAsia="Times New Roman" w:hAnsi="Times New Roman" w:cs="Times New Roman"/>
                <w:sz w:val="24"/>
                <w:szCs w:val="24"/>
                <w:lang w:eastAsia="lv-LV"/>
              </w:rPr>
              <w:t>"</w:t>
            </w:r>
            <w:r w:rsidR="00095DF2">
              <w:rPr>
                <w:rFonts w:ascii="Times New Roman" w:eastAsia="Times New Roman" w:hAnsi="Times New Roman" w:cs="Times New Roman"/>
                <w:sz w:val="24"/>
                <w:szCs w:val="24"/>
                <w:lang w:eastAsia="lv-LV"/>
              </w:rPr>
              <w:t xml:space="preserve"> (turpmāk – noteikumu projekts)</w:t>
            </w:r>
          </w:p>
          <w:p w14:paraId="136C793D" w14:textId="29006595" w:rsidR="00226FE6" w:rsidRPr="00BD2A24" w:rsidRDefault="00226FE6" w:rsidP="00BA7136">
            <w:pPr>
              <w:spacing w:after="0" w:line="240" w:lineRule="auto"/>
              <w:jc w:val="both"/>
              <w:rPr>
                <w:rFonts w:ascii="Times New Roman" w:eastAsia="Times New Roman" w:hAnsi="Times New Roman" w:cs="Times New Roman"/>
                <w:sz w:val="24"/>
                <w:szCs w:val="24"/>
                <w:lang w:eastAsia="lv-LV"/>
              </w:rPr>
            </w:pPr>
          </w:p>
        </w:tc>
      </w:tr>
      <w:tr w:rsidR="000B4E0A" w:rsidRPr="00BD2A24" w14:paraId="0EC9AC7A" w14:textId="77777777" w:rsidTr="009F04B3">
        <w:trPr>
          <w:trHeight w:val="271"/>
        </w:trPr>
        <w:tc>
          <w:tcPr>
            <w:tcW w:w="1796" w:type="pct"/>
            <w:hideMark/>
          </w:tcPr>
          <w:p w14:paraId="4EEB3EF4"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Dokumenta veids</w:t>
            </w:r>
          </w:p>
          <w:p w14:paraId="31DAE83D"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46F331A8" w14:textId="77777777" w:rsidR="00E53DE9" w:rsidRDefault="00E61C41" w:rsidP="005446F1">
            <w:pPr>
              <w:spacing w:after="0" w:line="240" w:lineRule="auto"/>
              <w:jc w:val="both"/>
              <w:rPr>
                <w:rFonts w:ascii="Times New Roman" w:hAnsi="Times New Roman" w:cs="Times New Roman"/>
                <w:sz w:val="24"/>
                <w:szCs w:val="24"/>
                <w:shd w:val="clear" w:color="auto" w:fill="FFFFFF"/>
              </w:rPr>
            </w:pPr>
            <w:r w:rsidRPr="00BD2A24">
              <w:rPr>
                <w:rFonts w:ascii="Times New Roman" w:hAnsi="Times New Roman" w:cs="Times New Roman"/>
                <w:sz w:val="24"/>
                <w:szCs w:val="24"/>
                <w:shd w:val="clear" w:color="auto" w:fill="FFFFFF"/>
              </w:rPr>
              <w:t>Latvijas Bankas noteikumi</w:t>
            </w:r>
          </w:p>
          <w:p w14:paraId="360C3E95" w14:textId="702B3537" w:rsidR="00E53DE9" w:rsidRPr="00BD2A24" w:rsidRDefault="00E53DE9" w:rsidP="00BA7136">
            <w:pPr>
              <w:spacing w:after="0" w:line="240" w:lineRule="auto"/>
              <w:jc w:val="both"/>
              <w:rPr>
                <w:rFonts w:ascii="Times New Roman" w:eastAsia="Times New Roman" w:hAnsi="Times New Roman" w:cs="Times New Roman"/>
                <w:sz w:val="24"/>
                <w:szCs w:val="24"/>
                <w:lang w:eastAsia="lv-LV"/>
              </w:rPr>
            </w:pPr>
          </w:p>
        </w:tc>
      </w:tr>
      <w:tr w:rsidR="000B4E0A" w:rsidRPr="00BD2A24" w14:paraId="7E94E343" w14:textId="77777777" w:rsidTr="009F04B3">
        <w:trPr>
          <w:trHeight w:val="1128"/>
        </w:trPr>
        <w:tc>
          <w:tcPr>
            <w:tcW w:w="1796" w:type="pct"/>
            <w:hideMark/>
          </w:tcPr>
          <w:p w14:paraId="69EA8FB2"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 xml:space="preserve">Izdošanas pamatojums </w:t>
            </w:r>
          </w:p>
          <w:p w14:paraId="66979586"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1589DBF4" w14:textId="395D0514" w:rsidR="00E53DE9" w:rsidRPr="00BD2A24" w:rsidRDefault="00E61C41"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Ieguldījumu pārvaldes sabiedrību likuma</w:t>
            </w:r>
            <w:r w:rsidR="00AB5F64" w:rsidRPr="00BD2A24">
              <w:rPr>
                <w:rFonts w:ascii="Times New Roman" w:eastAsia="Times New Roman" w:hAnsi="Times New Roman" w:cs="Times New Roman"/>
                <w:sz w:val="24"/>
                <w:szCs w:val="24"/>
                <w:lang w:eastAsia="lv-LV"/>
              </w:rPr>
              <w:t xml:space="preserve"> (turpmāk</w:t>
            </w:r>
            <w:r w:rsidR="00773BD8">
              <w:rPr>
                <w:rFonts w:ascii="Times New Roman" w:eastAsia="Times New Roman" w:hAnsi="Times New Roman" w:cs="Times New Roman"/>
                <w:sz w:val="24"/>
                <w:szCs w:val="24"/>
                <w:lang w:eastAsia="lv-LV"/>
              </w:rPr>
              <w:t> –</w:t>
            </w:r>
            <w:r w:rsidR="00AB5F64" w:rsidRPr="00BD2A24">
              <w:rPr>
                <w:rFonts w:ascii="Times New Roman" w:eastAsia="Times New Roman" w:hAnsi="Times New Roman" w:cs="Times New Roman"/>
                <w:sz w:val="24"/>
                <w:szCs w:val="24"/>
                <w:lang w:eastAsia="lv-LV"/>
              </w:rPr>
              <w:t xml:space="preserve"> Likums)</w:t>
            </w:r>
            <w:r w:rsidR="00665F86" w:rsidRPr="00BD2A24">
              <w:rPr>
                <w:rFonts w:ascii="Times New Roman" w:eastAsia="Times New Roman" w:hAnsi="Times New Roman" w:cs="Times New Roman"/>
                <w:sz w:val="24"/>
                <w:szCs w:val="24"/>
                <w:lang w:eastAsia="lv-LV"/>
              </w:rPr>
              <w:t xml:space="preserve"> </w:t>
            </w:r>
            <w:r w:rsidRPr="00BD2A24">
              <w:rPr>
                <w:rFonts w:ascii="Times New Roman" w:eastAsia="Times New Roman" w:hAnsi="Times New Roman" w:cs="Times New Roman"/>
                <w:sz w:val="24"/>
                <w:szCs w:val="24"/>
                <w:lang w:eastAsia="lv-LV"/>
              </w:rPr>
              <w:t>34.</w:t>
            </w:r>
            <w:r w:rsidRPr="00BD2A24">
              <w:rPr>
                <w:rFonts w:ascii="Times New Roman" w:eastAsia="Times New Roman" w:hAnsi="Times New Roman" w:cs="Times New Roman"/>
                <w:sz w:val="24"/>
                <w:szCs w:val="24"/>
                <w:vertAlign w:val="superscript"/>
                <w:lang w:eastAsia="lv-LV"/>
              </w:rPr>
              <w:t>1</w:t>
            </w:r>
            <w:r w:rsidR="00773BD8">
              <w:rPr>
                <w:rFonts w:ascii="Times New Roman" w:eastAsia="Times New Roman" w:hAnsi="Times New Roman" w:cs="Times New Roman"/>
                <w:sz w:val="24"/>
                <w:szCs w:val="24"/>
                <w:vertAlign w:val="superscript"/>
                <w:lang w:eastAsia="lv-LV"/>
              </w:rPr>
              <w:t> </w:t>
            </w:r>
            <w:r w:rsidRPr="00BD2A24">
              <w:rPr>
                <w:rFonts w:ascii="Times New Roman" w:eastAsia="Times New Roman" w:hAnsi="Times New Roman" w:cs="Times New Roman"/>
                <w:sz w:val="24"/>
                <w:szCs w:val="24"/>
                <w:lang w:eastAsia="lv-LV"/>
              </w:rPr>
              <w:t>panta septiņpadsmitā daļa, 71.</w:t>
            </w:r>
            <w:r w:rsidRPr="00BD2A24">
              <w:rPr>
                <w:rFonts w:ascii="Times New Roman" w:eastAsia="Times New Roman" w:hAnsi="Times New Roman" w:cs="Times New Roman"/>
                <w:sz w:val="24"/>
                <w:szCs w:val="24"/>
                <w:vertAlign w:val="superscript"/>
                <w:lang w:eastAsia="lv-LV"/>
              </w:rPr>
              <w:t>3</w:t>
            </w:r>
            <w:r w:rsidR="00773BD8">
              <w:rPr>
                <w:rFonts w:ascii="Times New Roman" w:eastAsia="Times New Roman" w:hAnsi="Times New Roman" w:cs="Times New Roman"/>
                <w:sz w:val="24"/>
                <w:szCs w:val="24"/>
                <w:vertAlign w:val="superscript"/>
                <w:lang w:eastAsia="lv-LV"/>
              </w:rPr>
              <w:t> </w:t>
            </w:r>
            <w:r w:rsidRPr="00BD2A24">
              <w:rPr>
                <w:rFonts w:ascii="Times New Roman" w:eastAsia="Times New Roman" w:hAnsi="Times New Roman" w:cs="Times New Roman"/>
                <w:sz w:val="24"/>
                <w:szCs w:val="24"/>
                <w:lang w:eastAsia="lv-LV"/>
              </w:rPr>
              <w:t>panta otrā,</w:t>
            </w:r>
            <w:r w:rsidR="00665F86" w:rsidRPr="00BD2A24">
              <w:rPr>
                <w:rFonts w:ascii="Times New Roman" w:eastAsia="Times New Roman" w:hAnsi="Times New Roman" w:cs="Times New Roman"/>
                <w:sz w:val="24"/>
                <w:szCs w:val="24"/>
                <w:lang w:eastAsia="lv-LV"/>
              </w:rPr>
              <w:t xml:space="preserve"> </w:t>
            </w:r>
            <w:r w:rsidRPr="00BD2A24">
              <w:rPr>
                <w:rFonts w:ascii="Times New Roman" w:eastAsia="Times New Roman" w:hAnsi="Times New Roman" w:cs="Times New Roman"/>
                <w:sz w:val="24"/>
                <w:szCs w:val="24"/>
                <w:lang w:eastAsia="lv-LV"/>
              </w:rPr>
              <w:t>devītā un divpadsmitā daļa</w:t>
            </w:r>
            <w:r w:rsidR="009830C2" w:rsidRPr="00BD2A24">
              <w:rPr>
                <w:rFonts w:ascii="Times New Roman" w:eastAsia="Times New Roman" w:hAnsi="Times New Roman" w:cs="Times New Roman"/>
                <w:sz w:val="24"/>
                <w:szCs w:val="24"/>
                <w:lang w:eastAsia="lv-LV"/>
              </w:rPr>
              <w:t>,</w:t>
            </w:r>
            <w:r w:rsidRPr="00BD2A24">
              <w:rPr>
                <w:rFonts w:ascii="Times New Roman" w:eastAsia="Times New Roman" w:hAnsi="Times New Roman" w:cs="Times New Roman"/>
                <w:sz w:val="24"/>
                <w:szCs w:val="24"/>
                <w:lang w:eastAsia="lv-LV"/>
              </w:rPr>
              <w:t xml:space="preserve"> 71.</w:t>
            </w:r>
            <w:r w:rsidRPr="00BD2A24">
              <w:rPr>
                <w:rFonts w:ascii="Times New Roman" w:eastAsia="Times New Roman" w:hAnsi="Times New Roman" w:cs="Times New Roman"/>
                <w:sz w:val="24"/>
                <w:szCs w:val="24"/>
                <w:vertAlign w:val="superscript"/>
                <w:lang w:eastAsia="lv-LV"/>
              </w:rPr>
              <w:t>4</w:t>
            </w:r>
            <w:r w:rsidR="00773BD8">
              <w:rPr>
                <w:rFonts w:ascii="Times New Roman" w:eastAsia="Times New Roman" w:hAnsi="Times New Roman" w:cs="Times New Roman"/>
                <w:sz w:val="24"/>
                <w:szCs w:val="24"/>
                <w:vertAlign w:val="superscript"/>
                <w:lang w:eastAsia="lv-LV"/>
              </w:rPr>
              <w:t> </w:t>
            </w:r>
            <w:r w:rsidRPr="00BD2A24">
              <w:rPr>
                <w:rFonts w:ascii="Times New Roman" w:eastAsia="Times New Roman" w:hAnsi="Times New Roman" w:cs="Times New Roman"/>
                <w:sz w:val="24"/>
                <w:szCs w:val="24"/>
                <w:lang w:eastAsia="lv-LV"/>
              </w:rPr>
              <w:t>panta pirmā</w:t>
            </w:r>
            <w:r w:rsidR="00F369A0">
              <w:rPr>
                <w:rFonts w:ascii="Times New Roman" w:eastAsia="Times New Roman" w:hAnsi="Times New Roman" w:cs="Times New Roman"/>
                <w:sz w:val="24"/>
                <w:szCs w:val="24"/>
                <w:lang w:eastAsia="lv-LV"/>
              </w:rPr>
              <w:t xml:space="preserve"> un </w:t>
            </w:r>
            <w:r w:rsidR="00191B8E">
              <w:rPr>
                <w:rFonts w:ascii="Times New Roman" w:eastAsia="Times New Roman" w:hAnsi="Times New Roman" w:cs="Times New Roman"/>
                <w:sz w:val="24"/>
                <w:szCs w:val="24"/>
                <w:lang w:eastAsia="lv-LV"/>
              </w:rPr>
              <w:t>septīt</w:t>
            </w:r>
            <w:r w:rsidR="009840E0">
              <w:rPr>
                <w:rFonts w:ascii="Times New Roman" w:eastAsia="Times New Roman" w:hAnsi="Times New Roman" w:cs="Times New Roman"/>
                <w:sz w:val="24"/>
                <w:szCs w:val="24"/>
                <w:lang w:eastAsia="lv-LV"/>
              </w:rPr>
              <w:t>ā</w:t>
            </w:r>
            <w:r w:rsidR="009830C2" w:rsidRPr="00BD2A24">
              <w:rPr>
                <w:rFonts w:ascii="Times New Roman" w:eastAsia="Times New Roman" w:hAnsi="Times New Roman" w:cs="Times New Roman"/>
                <w:sz w:val="24"/>
                <w:szCs w:val="24"/>
                <w:lang w:eastAsia="lv-LV"/>
              </w:rPr>
              <w:t xml:space="preserve"> </w:t>
            </w:r>
            <w:r w:rsidRPr="00BD2A24">
              <w:rPr>
                <w:rFonts w:ascii="Times New Roman" w:eastAsia="Times New Roman" w:hAnsi="Times New Roman" w:cs="Times New Roman"/>
                <w:sz w:val="24"/>
                <w:szCs w:val="24"/>
                <w:lang w:eastAsia="lv-LV"/>
              </w:rPr>
              <w:t>daļa</w:t>
            </w:r>
            <w:r w:rsidR="00F369A0">
              <w:rPr>
                <w:rFonts w:ascii="Times New Roman" w:eastAsia="Times New Roman" w:hAnsi="Times New Roman" w:cs="Times New Roman"/>
                <w:sz w:val="24"/>
                <w:szCs w:val="24"/>
                <w:lang w:eastAsia="lv-LV"/>
              </w:rPr>
              <w:t xml:space="preserve">, </w:t>
            </w:r>
            <w:bookmarkStart w:id="0" w:name="_Hlk205893859"/>
            <w:r w:rsidR="00F369A0" w:rsidRPr="00F369A0">
              <w:rPr>
                <w:rFonts w:ascii="Times New Roman" w:eastAsia="Times New Roman" w:hAnsi="Times New Roman" w:cs="Times New Roman"/>
                <w:sz w:val="24"/>
                <w:szCs w:val="24"/>
                <w:lang w:eastAsia="lv-LV"/>
              </w:rPr>
              <w:t>77.</w:t>
            </w:r>
            <w:r w:rsidR="00F369A0" w:rsidRPr="00F369A0">
              <w:rPr>
                <w:rFonts w:ascii="Times New Roman" w:eastAsia="Times New Roman" w:hAnsi="Times New Roman" w:cs="Times New Roman"/>
                <w:sz w:val="24"/>
                <w:szCs w:val="24"/>
                <w:vertAlign w:val="superscript"/>
                <w:lang w:eastAsia="lv-LV"/>
              </w:rPr>
              <w:t>3</w:t>
            </w:r>
            <w:r w:rsidR="004666BE">
              <w:rPr>
                <w:rFonts w:ascii="Times New Roman" w:eastAsia="Times New Roman" w:hAnsi="Times New Roman" w:cs="Times New Roman"/>
                <w:sz w:val="24"/>
                <w:szCs w:val="24"/>
                <w:lang w:eastAsia="lv-LV"/>
              </w:rPr>
              <w:t> </w:t>
            </w:r>
            <w:r w:rsidR="00F369A0" w:rsidRPr="00F369A0">
              <w:rPr>
                <w:rFonts w:ascii="Times New Roman" w:eastAsia="Times New Roman" w:hAnsi="Times New Roman" w:cs="Times New Roman"/>
                <w:sz w:val="24"/>
                <w:szCs w:val="24"/>
                <w:lang w:eastAsia="lv-LV"/>
              </w:rPr>
              <w:t>panta četrpadsmit</w:t>
            </w:r>
            <w:r w:rsidR="00F369A0">
              <w:rPr>
                <w:rFonts w:ascii="Times New Roman" w:eastAsia="Times New Roman" w:hAnsi="Times New Roman" w:cs="Times New Roman"/>
                <w:sz w:val="24"/>
                <w:szCs w:val="24"/>
                <w:lang w:eastAsia="lv-LV"/>
              </w:rPr>
              <w:t>ā</w:t>
            </w:r>
            <w:r w:rsidR="00F369A0" w:rsidRPr="00F369A0">
              <w:rPr>
                <w:rFonts w:ascii="Times New Roman" w:eastAsia="Times New Roman" w:hAnsi="Times New Roman" w:cs="Times New Roman"/>
                <w:sz w:val="24"/>
                <w:szCs w:val="24"/>
                <w:lang w:eastAsia="lv-LV"/>
              </w:rPr>
              <w:t xml:space="preserve"> daļ</w:t>
            </w:r>
            <w:r w:rsidR="00F369A0">
              <w:rPr>
                <w:rFonts w:ascii="Times New Roman" w:eastAsia="Times New Roman" w:hAnsi="Times New Roman" w:cs="Times New Roman"/>
                <w:sz w:val="24"/>
                <w:szCs w:val="24"/>
                <w:lang w:eastAsia="lv-LV"/>
              </w:rPr>
              <w:t>a</w:t>
            </w:r>
            <w:bookmarkEnd w:id="0"/>
          </w:p>
          <w:p w14:paraId="60502B2A" w14:textId="78788FEA" w:rsidR="00226FE6" w:rsidRPr="00BD2A24" w:rsidRDefault="00226FE6" w:rsidP="00925AED">
            <w:pPr>
              <w:spacing w:after="0" w:line="240" w:lineRule="auto"/>
              <w:jc w:val="both"/>
              <w:rPr>
                <w:rFonts w:ascii="Times New Roman" w:eastAsia="Times New Roman" w:hAnsi="Times New Roman" w:cs="Times New Roman"/>
                <w:sz w:val="24"/>
                <w:szCs w:val="24"/>
                <w:lang w:eastAsia="lv-LV"/>
              </w:rPr>
            </w:pPr>
          </w:p>
        </w:tc>
      </w:tr>
      <w:tr w:rsidR="000B4E0A" w:rsidRPr="00BD2A24" w14:paraId="5C394364" w14:textId="77777777" w:rsidTr="00604D84">
        <w:trPr>
          <w:trHeight w:val="1054"/>
        </w:trPr>
        <w:tc>
          <w:tcPr>
            <w:tcW w:w="1796" w:type="pct"/>
            <w:hideMark/>
          </w:tcPr>
          <w:p w14:paraId="30DF8EF5"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Mērķis un būtība</w:t>
            </w:r>
          </w:p>
          <w:p w14:paraId="0B7C0C2C"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77560BD1" w14:textId="2A6373C1" w:rsidR="005677EC" w:rsidRPr="00604D84" w:rsidRDefault="00913C19" w:rsidP="00022940">
            <w:pPr>
              <w:spacing w:after="0" w:line="240" w:lineRule="auto"/>
              <w:jc w:val="both"/>
              <w:rPr>
                <w:rFonts w:ascii="Times New Roman" w:hAnsi="Times New Roman" w:cs="Times New Roman"/>
                <w:sz w:val="24"/>
                <w:szCs w:val="24"/>
              </w:rPr>
            </w:pPr>
            <w:r w:rsidRPr="00604D84">
              <w:rPr>
                <w:rFonts w:ascii="Times New Roman" w:hAnsi="Times New Roman" w:cs="Times New Roman"/>
                <w:sz w:val="24"/>
                <w:szCs w:val="24"/>
              </w:rPr>
              <w:t>Likuma 71.</w:t>
            </w:r>
            <w:r w:rsidRPr="00604D84">
              <w:rPr>
                <w:rFonts w:ascii="Times New Roman" w:hAnsi="Times New Roman" w:cs="Times New Roman"/>
                <w:sz w:val="24"/>
                <w:szCs w:val="24"/>
                <w:vertAlign w:val="superscript"/>
              </w:rPr>
              <w:t>4</w:t>
            </w:r>
            <w:r w:rsidR="004666BE">
              <w:rPr>
                <w:rFonts w:ascii="Times New Roman" w:hAnsi="Times New Roman" w:cs="Times New Roman"/>
                <w:sz w:val="24"/>
                <w:szCs w:val="24"/>
              </w:rPr>
              <w:t> </w:t>
            </w:r>
            <w:r w:rsidRPr="00604D84">
              <w:rPr>
                <w:rFonts w:ascii="Times New Roman" w:hAnsi="Times New Roman" w:cs="Times New Roman"/>
                <w:sz w:val="24"/>
                <w:szCs w:val="24"/>
              </w:rPr>
              <w:t xml:space="preserve">panta septītajā daļā paredzēta </w:t>
            </w:r>
            <w:r w:rsidRPr="00604D84">
              <w:rPr>
                <w:rFonts w:ascii="Times New Roman" w:hAnsi="Times New Roman" w:cs="Times New Roman"/>
                <w:i/>
                <w:iCs/>
                <w:sz w:val="24"/>
                <w:szCs w:val="24"/>
              </w:rPr>
              <w:t>galvenā fonda revidenta un pakārtotā fonda revidenta vienošanās par informācijas apmaiņu</w:t>
            </w:r>
            <w:r w:rsidR="00906212" w:rsidRPr="00604D84">
              <w:rPr>
                <w:rFonts w:ascii="Times New Roman" w:hAnsi="Times New Roman" w:cs="Times New Roman"/>
                <w:sz w:val="24"/>
                <w:szCs w:val="24"/>
              </w:rPr>
              <w:t>,</w:t>
            </w:r>
            <w:r w:rsidR="00604D84">
              <w:rPr>
                <w:rFonts w:ascii="Times New Roman" w:hAnsi="Times New Roman" w:cs="Times New Roman"/>
                <w:sz w:val="24"/>
                <w:szCs w:val="24"/>
              </w:rPr>
              <w:t xml:space="preserve"> </w:t>
            </w:r>
            <w:r w:rsidR="00906212" w:rsidRPr="00604D84">
              <w:rPr>
                <w:rFonts w:ascii="Times New Roman" w:hAnsi="Times New Roman" w:cs="Times New Roman"/>
                <w:sz w:val="24"/>
                <w:szCs w:val="24"/>
              </w:rPr>
              <w:t>s</w:t>
            </w:r>
            <w:r w:rsidRPr="00604D84">
              <w:rPr>
                <w:rFonts w:ascii="Times New Roman" w:hAnsi="Times New Roman" w:cs="Times New Roman"/>
                <w:sz w:val="24"/>
                <w:szCs w:val="24"/>
              </w:rPr>
              <w:t>avukārt Likuma 77.</w:t>
            </w:r>
            <w:r w:rsidRPr="00604D84">
              <w:rPr>
                <w:rFonts w:ascii="Times New Roman" w:hAnsi="Times New Roman" w:cs="Times New Roman"/>
                <w:sz w:val="24"/>
                <w:szCs w:val="24"/>
                <w:vertAlign w:val="superscript"/>
              </w:rPr>
              <w:t>3</w:t>
            </w:r>
            <w:r w:rsidRPr="00604D84">
              <w:rPr>
                <w:rFonts w:ascii="Times New Roman" w:hAnsi="Times New Roman" w:cs="Times New Roman"/>
                <w:sz w:val="24"/>
                <w:szCs w:val="24"/>
              </w:rPr>
              <w:t xml:space="preserve"> pantā paredzēta </w:t>
            </w:r>
            <w:r w:rsidRPr="00604D84">
              <w:rPr>
                <w:rFonts w:ascii="Times New Roman" w:hAnsi="Times New Roman" w:cs="Times New Roman"/>
                <w:i/>
                <w:iCs/>
                <w:sz w:val="24"/>
                <w:szCs w:val="24"/>
              </w:rPr>
              <w:t>citās dalībvalstīs reģistrēto atvērto ieguldījumu fondu (UCITS) ieguldījumu apliecību izplatīšana Latvijā</w:t>
            </w:r>
            <w:r w:rsidRPr="00604D84">
              <w:rPr>
                <w:rFonts w:ascii="Times New Roman" w:hAnsi="Times New Roman" w:cs="Times New Roman"/>
                <w:sz w:val="24"/>
                <w:szCs w:val="24"/>
              </w:rPr>
              <w:t>.</w:t>
            </w:r>
          </w:p>
          <w:p w14:paraId="425F269B" w14:textId="77777777" w:rsidR="00604D84" w:rsidRDefault="00604D84" w:rsidP="00B36625">
            <w:pPr>
              <w:spacing w:after="0" w:line="240" w:lineRule="auto"/>
              <w:jc w:val="both"/>
              <w:rPr>
                <w:rFonts w:ascii="Times New Roman" w:hAnsi="Times New Roman" w:cs="Times New Roman"/>
                <w:sz w:val="24"/>
                <w:szCs w:val="24"/>
              </w:rPr>
            </w:pPr>
          </w:p>
          <w:p w14:paraId="655B4103" w14:textId="28846952" w:rsidR="00226FE6" w:rsidRPr="00BD2A24" w:rsidRDefault="00913C19" w:rsidP="00B366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Līdz 2024.</w:t>
            </w:r>
            <w:r w:rsidR="00C063D4">
              <w:rPr>
                <w:rFonts w:ascii="Times New Roman" w:hAnsi="Times New Roman" w:cs="Times New Roman"/>
                <w:sz w:val="24"/>
                <w:szCs w:val="24"/>
              </w:rPr>
              <w:t> </w:t>
            </w:r>
            <w:r>
              <w:rPr>
                <w:rFonts w:ascii="Times New Roman" w:hAnsi="Times New Roman" w:cs="Times New Roman"/>
                <w:sz w:val="24"/>
                <w:szCs w:val="24"/>
              </w:rPr>
              <w:t>gada 9.</w:t>
            </w:r>
            <w:r w:rsidR="00C063D4">
              <w:rPr>
                <w:rFonts w:ascii="Times New Roman" w:hAnsi="Times New Roman" w:cs="Times New Roman"/>
                <w:sz w:val="24"/>
                <w:szCs w:val="24"/>
              </w:rPr>
              <w:t> </w:t>
            </w:r>
            <w:r>
              <w:rPr>
                <w:rFonts w:ascii="Times New Roman" w:hAnsi="Times New Roman" w:cs="Times New Roman"/>
                <w:sz w:val="24"/>
                <w:szCs w:val="24"/>
              </w:rPr>
              <w:t>decembrim spēkā bija</w:t>
            </w:r>
            <w:r w:rsidR="00022940" w:rsidRPr="00BD2A24">
              <w:rPr>
                <w:rFonts w:ascii="Times New Roman" w:hAnsi="Times New Roman" w:cs="Times New Roman"/>
                <w:sz w:val="24"/>
                <w:szCs w:val="24"/>
              </w:rPr>
              <w:t xml:space="preserve"> Finanšu un kapitāla tirgus komisijas 2020. gada 15. septembra </w:t>
            </w:r>
            <w:r w:rsidR="00022940" w:rsidRPr="00BD2A24">
              <w:rPr>
                <w:rFonts w:ascii="Times New Roman" w:hAnsi="Times New Roman" w:cs="Times New Roman"/>
                <w:bCs/>
                <w:sz w:val="24"/>
                <w:szCs w:val="24"/>
              </w:rPr>
              <w:t>normatīv</w:t>
            </w:r>
            <w:r w:rsidR="00022940" w:rsidRPr="009F04B3">
              <w:rPr>
                <w:rFonts w:ascii="Times New Roman" w:hAnsi="Times New Roman"/>
                <w:sz w:val="24"/>
              </w:rPr>
              <w:t>ie</w:t>
            </w:r>
            <w:r w:rsidR="00022940" w:rsidRPr="00BD2A24">
              <w:rPr>
                <w:rFonts w:ascii="Times New Roman" w:hAnsi="Times New Roman" w:cs="Times New Roman"/>
                <w:bCs/>
                <w:sz w:val="24"/>
                <w:szCs w:val="24"/>
              </w:rPr>
              <w:t xml:space="preserve"> noteikum</w:t>
            </w:r>
            <w:r w:rsidR="00022940" w:rsidRPr="009F04B3">
              <w:rPr>
                <w:rFonts w:ascii="Times New Roman" w:hAnsi="Times New Roman"/>
                <w:sz w:val="24"/>
              </w:rPr>
              <w:t>i</w:t>
            </w:r>
            <w:r w:rsidR="00022940" w:rsidRPr="00BD2A24">
              <w:rPr>
                <w:rFonts w:ascii="Times New Roman" w:hAnsi="Times New Roman" w:cs="Times New Roman"/>
                <w:bCs/>
                <w:sz w:val="24"/>
                <w:szCs w:val="24"/>
              </w:rPr>
              <w:t xml:space="preserve"> Nr. 152 </w:t>
            </w:r>
            <w:r w:rsidR="00022940" w:rsidRPr="00BD2A24">
              <w:rPr>
                <w:rFonts w:ascii="Times New Roman" w:hAnsi="Times New Roman" w:cs="Times New Roman"/>
                <w:sz w:val="24"/>
                <w:szCs w:val="24"/>
              </w:rPr>
              <w:t>''Normatīvie n</w:t>
            </w:r>
            <w:r w:rsidR="00022940" w:rsidRPr="00BD2A24">
              <w:rPr>
                <w:rFonts w:ascii="Times New Roman" w:eastAsia="Times New Roman" w:hAnsi="Times New Roman" w:cs="Times New Roman"/>
                <w:sz w:val="24"/>
                <w:szCs w:val="24"/>
                <w:lang w:eastAsia="lv-LV"/>
              </w:rPr>
              <w:t>oteikumi par fondu apvienošanu, galvenās un pakārtotās struktūras darījumiem</w:t>
            </w:r>
            <w:r w:rsidR="00D55B0F" w:rsidRPr="00BD2A24">
              <w:rPr>
                <w:rFonts w:ascii="Times New Roman" w:eastAsia="Times New Roman" w:hAnsi="Times New Roman" w:cs="Times New Roman"/>
                <w:sz w:val="24"/>
                <w:szCs w:val="24"/>
                <w:lang w:eastAsia="lv-LV"/>
              </w:rPr>
              <w:t>"</w:t>
            </w:r>
            <w:r w:rsidR="00022940" w:rsidRPr="00BD2A24">
              <w:rPr>
                <w:rFonts w:ascii="Times New Roman" w:eastAsia="Times New Roman" w:hAnsi="Times New Roman" w:cs="Times New Roman"/>
                <w:sz w:val="24"/>
                <w:szCs w:val="24"/>
                <w:lang w:eastAsia="lv-LV"/>
              </w:rPr>
              <w:t xml:space="preserve"> </w:t>
            </w:r>
            <w:r w:rsidR="00022940" w:rsidRPr="00BD2A24">
              <w:rPr>
                <w:rFonts w:ascii="Times New Roman" w:hAnsi="Times New Roman" w:cs="Times New Roman"/>
                <w:sz w:val="24"/>
                <w:szCs w:val="24"/>
              </w:rPr>
              <w:t>(turpmāk</w:t>
            </w:r>
            <w:r w:rsidR="00773BD8">
              <w:rPr>
                <w:rFonts w:ascii="Times New Roman" w:hAnsi="Times New Roman" w:cs="Times New Roman"/>
                <w:sz w:val="24"/>
                <w:szCs w:val="24"/>
              </w:rPr>
              <w:t> </w:t>
            </w:r>
            <w:r w:rsidR="00022940" w:rsidRPr="00BD2A24">
              <w:rPr>
                <w:rFonts w:ascii="Times New Roman" w:hAnsi="Times New Roman" w:cs="Times New Roman"/>
                <w:sz w:val="24"/>
                <w:szCs w:val="24"/>
              </w:rPr>
              <w:t>– Noteikumi Nr. 152).</w:t>
            </w:r>
            <w:r>
              <w:rPr>
                <w:rFonts w:ascii="Times New Roman" w:hAnsi="Times New Roman" w:cs="Times New Roman"/>
                <w:sz w:val="24"/>
                <w:szCs w:val="24"/>
              </w:rPr>
              <w:t xml:space="preserve"> </w:t>
            </w:r>
          </w:p>
          <w:p w14:paraId="05DBC33B" w14:textId="5A638B93" w:rsidR="00AC2E5A" w:rsidRPr="00BD2A24" w:rsidRDefault="00AC2E5A" w:rsidP="005446F1">
            <w:pPr>
              <w:spacing w:after="0" w:line="240" w:lineRule="auto"/>
              <w:jc w:val="both"/>
              <w:rPr>
                <w:rFonts w:ascii="Times New Roman" w:hAnsi="Times New Roman" w:cs="Times New Roman"/>
                <w:sz w:val="24"/>
                <w:szCs w:val="24"/>
              </w:rPr>
            </w:pPr>
          </w:p>
          <w:p w14:paraId="4994F851" w14:textId="4F0D48C8" w:rsidR="00215340" w:rsidRDefault="00582A72" w:rsidP="009F04B3">
            <w:pPr>
              <w:pStyle w:val="NApunkts1"/>
              <w:numPr>
                <w:ilvl w:val="0"/>
                <w:numId w:val="0"/>
              </w:numPr>
              <w:spacing w:before="0"/>
            </w:pPr>
            <w:r w:rsidRPr="00582A72">
              <w:t>2024.</w:t>
            </w:r>
            <w:r>
              <w:t> </w:t>
            </w:r>
            <w:r w:rsidRPr="00582A72">
              <w:t>gada 9.</w:t>
            </w:r>
            <w:r>
              <w:t> </w:t>
            </w:r>
            <w:r w:rsidRPr="00582A72">
              <w:t xml:space="preserve">decembrī </w:t>
            </w:r>
            <w:r>
              <w:t>izdodot</w:t>
            </w:r>
            <w:r w:rsidR="00913C19">
              <w:t xml:space="preserve"> </w:t>
            </w:r>
            <w:r w:rsidR="00EB78E7">
              <w:t xml:space="preserve">Latvijas Bankas </w:t>
            </w:r>
            <w:r>
              <w:t>n</w:t>
            </w:r>
            <w:r w:rsidR="00913C19">
              <w:t>oteikumus Nr.</w:t>
            </w:r>
            <w:r>
              <w:t> </w:t>
            </w:r>
            <w:r w:rsidR="00EB78E7">
              <w:t xml:space="preserve">367 </w:t>
            </w:r>
            <w:r>
              <w:t>"</w:t>
            </w:r>
            <w:r w:rsidR="00EB78E7" w:rsidRPr="00EB78E7">
              <w:t>Noteikumi par fondu apvienošanu, galvenās un pakārtotās struktūras darījumiem un ieguldījumu apliecību izplatīšanas kārtību</w:t>
            </w:r>
            <w:r>
              <w:t>"</w:t>
            </w:r>
            <w:r w:rsidR="00EB78E7">
              <w:t xml:space="preserve"> (turpmāk</w:t>
            </w:r>
            <w:r w:rsidR="00095DF2">
              <w:t> –</w:t>
            </w:r>
            <w:r w:rsidR="00EB78E7">
              <w:t xml:space="preserve"> </w:t>
            </w:r>
            <w:r w:rsidR="00EB78E7" w:rsidRPr="00BD2A24">
              <w:t>Noteikumi Nr. </w:t>
            </w:r>
            <w:r w:rsidR="00EB78E7">
              <w:t>367)</w:t>
            </w:r>
            <w:r w:rsidR="00095DF2">
              <w:t>,</w:t>
            </w:r>
            <w:r>
              <w:t xml:space="preserve"> t</w:t>
            </w:r>
            <w:r w:rsidR="00C063D4">
              <w:t>ajos</w:t>
            </w:r>
            <w:r>
              <w:t xml:space="preserve"> ne</w:t>
            </w:r>
            <w:r w:rsidR="00C063D4">
              <w:t xml:space="preserve">tika </w:t>
            </w:r>
            <w:r>
              <w:t>ietv</w:t>
            </w:r>
            <w:r w:rsidR="00C063D4">
              <w:t>e</w:t>
            </w:r>
            <w:r>
              <w:t>r</w:t>
            </w:r>
            <w:r w:rsidR="00C063D4">
              <w:t>ta</w:t>
            </w:r>
            <w:r w:rsidR="00EB78E7">
              <w:t xml:space="preserve"> </w:t>
            </w:r>
            <w:r w:rsidR="0022738F">
              <w:t>Noteikumu Nr. 152 3.4.2. </w:t>
            </w:r>
            <w:r w:rsidR="00C063D4">
              <w:t xml:space="preserve">apakšnodaļa </w:t>
            </w:r>
            <w:r w:rsidR="00095DF2">
              <w:t>"</w:t>
            </w:r>
            <w:r w:rsidR="00EB78E7" w:rsidRPr="00EB78E7">
              <w:t>Vienošanās par informācijas apmaiņu starp zvērinātiem revidentiem saturs</w:t>
            </w:r>
            <w:r w:rsidR="00095DF2">
              <w:t>"</w:t>
            </w:r>
            <w:r w:rsidR="00EB78E7">
              <w:t xml:space="preserve"> un</w:t>
            </w:r>
            <w:r w:rsidR="00C063D4">
              <w:t xml:space="preserve"> </w:t>
            </w:r>
            <w:r w:rsidR="0022738F">
              <w:t>4. </w:t>
            </w:r>
            <w:r w:rsidR="00C063D4">
              <w:t>nodaļa</w:t>
            </w:r>
            <w:r w:rsidR="00EB78E7">
              <w:t xml:space="preserve"> </w:t>
            </w:r>
            <w:r w:rsidR="00095DF2">
              <w:t>"</w:t>
            </w:r>
            <w:r w:rsidR="00EB78E7" w:rsidRPr="00EB78E7">
              <w:t>Citās dalībvalstīs reģistrēto (dibināto) atvērto ieguldījumu fondu ieguldījumu apliecību izplatīšanas kārtība Latvijā</w:t>
            </w:r>
            <w:r w:rsidR="00095DF2">
              <w:t>"</w:t>
            </w:r>
            <w:r w:rsidR="00EB78E7">
              <w:t>.</w:t>
            </w:r>
          </w:p>
          <w:p w14:paraId="44DD828C" w14:textId="2CE9BE01" w:rsidR="00EB78E7" w:rsidRDefault="00EB78E7" w:rsidP="009F04B3">
            <w:pPr>
              <w:pStyle w:val="NApunkts1"/>
              <w:numPr>
                <w:ilvl w:val="0"/>
                <w:numId w:val="0"/>
              </w:numPr>
              <w:spacing w:before="0"/>
            </w:pPr>
          </w:p>
          <w:p w14:paraId="313CA684" w14:textId="40E0D506" w:rsidR="003159F2" w:rsidRDefault="00582A72" w:rsidP="009F04B3">
            <w:pPr>
              <w:pStyle w:val="NApunkts1"/>
              <w:numPr>
                <w:ilvl w:val="0"/>
                <w:numId w:val="0"/>
              </w:numPr>
              <w:spacing w:before="0"/>
            </w:pPr>
            <w:r>
              <w:t xml:space="preserve">Latvijas Republikas Saeima 2025. gada </w:t>
            </w:r>
            <w:r w:rsidR="00B420BB">
              <w:t>11</w:t>
            </w:r>
            <w:r>
              <w:t>. </w:t>
            </w:r>
            <w:r w:rsidR="003159F2">
              <w:t xml:space="preserve">septembrī </w:t>
            </w:r>
            <w:r w:rsidR="00095DF2">
              <w:t xml:space="preserve">ir </w:t>
            </w:r>
            <w:r>
              <w:t xml:space="preserve">pieņēmusi </w:t>
            </w:r>
            <w:r w:rsidRPr="00C063D4">
              <w:t>likumu</w:t>
            </w:r>
            <w:r>
              <w:t xml:space="preserve"> </w:t>
            </w:r>
            <w:r w:rsidR="004666BE">
              <w:t>"</w:t>
            </w:r>
            <w:r w:rsidRPr="00AC2E5A">
              <w:t>Grozījumi Ieguldījumu pārvaldes sabiedrību likumā</w:t>
            </w:r>
            <w:r w:rsidR="004666BE">
              <w:t>"</w:t>
            </w:r>
            <w:r>
              <w:t xml:space="preserve">. Ar šiem grozījumiem Likumā iekļautas normas, kas </w:t>
            </w:r>
            <w:r w:rsidRPr="002D3B58">
              <w:t>Latvijas Bank</w:t>
            </w:r>
            <w:r>
              <w:t>ai deleģē tiesības noteikt: 1) </w:t>
            </w:r>
            <w:r w:rsidRPr="00072FF0">
              <w:t>vienošan</w:t>
            </w:r>
            <w:r>
              <w:t>ā</w:t>
            </w:r>
            <w:r w:rsidRPr="00072FF0">
              <w:t>s par informācijas apmaiņu</w:t>
            </w:r>
            <w:r>
              <w:t xml:space="preserve"> saturu</w:t>
            </w:r>
            <w:r w:rsidRPr="00072FF0">
              <w:t xml:space="preserve">, </w:t>
            </w:r>
            <w:r>
              <w:t>j</w:t>
            </w:r>
            <w:r w:rsidRPr="00072FF0">
              <w:t>a galvenajam fondam un pakārtotajam fondam ir dažādi revidenti</w:t>
            </w:r>
            <w:r>
              <w:t xml:space="preserve"> (</w:t>
            </w:r>
            <w:r w:rsidRPr="002D3B58">
              <w:t>71.</w:t>
            </w:r>
            <w:r w:rsidRPr="002D3B58">
              <w:rPr>
                <w:vertAlign w:val="superscript"/>
              </w:rPr>
              <w:t>4</w:t>
            </w:r>
            <w:r w:rsidRPr="002D3B58">
              <w:t> panta septīt</w:t>
            </w:r>
            <w:r>
              <w:t>ā</w:t>
            </w:r>
            <w:r w:rsidRPr="002D3B58">
              <w:t xml:space="preserve"> daļ</w:t>
            </w:r>
            <w:r>
              <w:t>a pēc papildinājumiem)</w:t>
            </w:r>
            <w:r w:rsidR="00095DF2">
              <w:t>;</w:t>
            </w:r>
            <w:r>
              <w:t xml:space="preserve"> </w:t>
            </w:r>
          </w:p>
          <w:p w14:paraId="173A8EDE" w14:textId="77777777" w:rsidR="003159F2" w:rsidRDefault="00582A72" w:rsidP="009F04B3">
            <w:pPr>
              <w:pStyle w:val="NApunkts1"/>
              <w:numPr>
                <w:ilvl w:val="0"/>
                <w:numId w:val="0"/>
              </w:numPr>
              <w:spacing w:before="0"/>
            </w:pPr>
            <w:r>
              <w:t>2) </w:t>
            </w:r>
            <w:r w:rsidRPr="00720F32">
              <w:t>citās dalībvalstīs reģistrēto atvērto ieguldījumu fondu ieguldījumu apliecību izplatīšanas kārtību Latvijā</w:t>
            </w:r>
            <w:r>
              <w:t xml:space="preserve"> (jaunā </w:t>
            </w:r>
            <w:r w:rsidRPr="00720F32">
              <w:t>77.</w:t>
            </w:r>
            <w:r w:rsidRPr="00720F32">
              <w:rPr>
                <w:vertAlign w:val="superscript"/>
              </w:rPr>
              <w:t>3</w:t>
            </w:r>
            <w:r>
              <w:t> </w:t>
            </w:r>
            <w:r w:rsidRPr="00720F32">
              <w:t>pant</w:t>
            </w:r>
            <w:r>
              <w:t>a</w:t>
            </w:r>
            <w:r w:rsidRPr="00720F32">
              <w:t xml:space="preserve"> četrpadsmit</w:t>
            </w:r>
            <w:r>
              <w:t xml:space="preserve">ā </w:t>
            </w:r>
            <w:r w:rsidRPr="00720F32">
              <w:t>daļ</w:t>
            </w:r>
            <w:r>
              <w:t xml:space="preserve">a). </w:t>
            </w:r>
          </w:p>
          <w:p w14:paraId="46ADEB33" w14:textId="7ECCF0B0" w:rsidR="00582A72" w:rsidRDefault="00582A72" w:rsidP="009F04B3">
            <w:pPr>
              <w:pStyle w:val="NApunkts1"/>
              <w:numPr>
                <w:ilvl w:val="0"/>
                <w:numId w:val="0"/>
              </w:numPr>
              <w:spacing w:before="0"/>
            </w:pPr>
            <w:r>
              <w:lastRenderedPageBreak/>
              <w:t xml:space="preserve">Saskaņā ar tiesiskuma un varas dalīšanas principu likumdevēja nepārprotams deleģējums izdot </w:t>
            </w:r>
            <w:r w:rsidRPr="00060539">
              <w:t>likumam pakārtotus normatīv</w:t>
            </w:r>
            <w:r w:rsidR="00095DF2">
              <w:t>o</w:t>
            </w:r>
            <w:r w:rsidRPr="00060539">
              <w:t>s aktus</w:t>
            </w:r>
            <w:r>
              <w:t xml:space="preserve"> ir pozitīvs pienākums, nevis izvēles tiesība un šādus</w:t>
            </w:r>
            <w:r w:rsidRPr="00060539">
              <w:t xml:space="preserve"> normatīv</w:t>
            </w:r>
            <w:r>
              <w:t>o</w:t>
            </w:r>
            <w:r w:rsidRPr="00060539">
              <w:t>s aktus izdod, lai palīdzētu dzīvē īstenot likumus.</w:t>
            </w:r>
          </w:p>
          <w:p w14:paraId="374A64BD" w14:textId="77777777" w:rsidR="00095DF2" w:rsidRDefault="00095DF2" w:rsidP="009F04B3">
            <w:pPr>
              <w:pStyle w:val="NApunkts1"/>
              <w:numPr>
                <w:ilvl w:val="0"/>
                <w:numId w:val="0"/>
              </w:numPr>
              <w:spacing w:before="0"/>
            </w:pPr>
          </w:p>
          <w:p w14:paraId="0352E8C9" w14:textId="5C89B3F3" w:rsidR="00B36625" w:rsidRDefault="009840E0" w:rsidP="00604D84">
            <w:pPr>
              <w:pStyle w:val="NApunkts1"/>
              <w:numPr>
                <w:ilvl w:val="0"/>
                <w:numId w:val="0"/>
              </w:numPr>
              <w:spacing w:before="0"/>
            </w:pPr>
            <w:r>
              <w:t xml:space="preserve">Līdz ar to </w:t>
            </w:r>
            <w:r w:rsidR="00582A72">
              <w:t xml:space="preserve">nepieciešams papildināt </w:t>
            </w:r>
            <w:r>
              <w:t>Noteikumus Nr.</w:t>
            </w:r>
            <w:r w:rsidR="004666BE">
              <w:t> </w:t>
            </w:r>
            <w:r>
              <w:t>367.</w:t>
            </w:r>
          </w:p>
          <w:p w14:paraId="30EBAC2F" w14:textId="6013DB2B" w:rsidR="00095DF2" w:rsidRPr="00BD2A24" w:rsidRDefault="00095DF2" w:rsidP="00604D84">
            <w:pPr>
              <w:pStyle w:val="NApunkts1"/>
              <w:numPr>
                <w:ilvl w:val="0"/>
                <w:numId w:val="0"/>
              </w:numPr>
              <w:spacing w:before="0"/>
            </w:pPr>
          </w:p>
        </w:tc>
      </w:tr>
      <w:tr w:rsidR="000B4E0A" w:rsidRPr="00BD2A24" w14:paraId="4FDF1C5A" w14:textId="77777777" w:rsidTr="009F04B3">
        <w:trPr>
          <w:trHeight w:val="2108"/>
        </w:trPr>
        <w:tc>
          <w:tcPr>
            <w:tcW w:w="1796" w:type="pct"/>
            <w:hideMark/>
          </w:tcPr>
          <w:p w14:paraId="1BDB35A3"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lastRenderedPageBreak/>
              <w:t>Leģitīmais mērķis</w:t>
            </w:r>
          </w:p>
          <w:p w14:paraId="43A56DAE"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2D246C88" w14:textId="5A7131A0" w:rsidR="00F934C4" w:rsidRDefault="0003575E" w:rsidP="005446F1">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Noteikumi</w:t>
            </w:r>
            <w:r w:rsidR="008C7FA5" w:rsidRPr="00BD2A24">
              <w:rPr>
                <w:rFonts w:ascii="Times New Roman" w:eastAsia="Times New Roman" w:hAnsi="Times New Roman" w:cs="Times New Roman"/>
                <w:sz w:val="24"/>
                <w:szCs w:val="24"/>
                <w:lang w:eastAsia="lv-LV"/>
              </w:rPr>
              <w:t xml:space="preserve"> nepieciešam</w:t>
            </w:r>
            <w:r w:rsidR="00D24188" w:rsidRPr="00BD2A24">
              <w:rPr>
                <w:rFonts w:ascii="Times New Roman" w:eastAsia="Times New Roman" w:hAnsi="Times New Roman" w:cs="Times New Roman"/>
                <w:sz w:val="24"/>
                <w:szCs w:val="24"/>
                <w:lang w:eastAsia="lv-LV"/>
              </w:rPr>
              <w:t>i</w:t>
            </w:r>
            <w:r w:rsidR="005F4754" w:rsidRPr="00BD2A24">
              <w:rPr>
                <w:rFonts w:ascii="Times New Roman" w:eastAsia="Times New Roman" w:hAnsi="Times New Roman" w:cs="Times New Roman"/>
                <w:sz w:val="24"/>
                <w:szCs w:val="24"/>
                <w:lang w:eastAsia="lv-LV"/>
              </w:rPr>
              <w:t>,</w:t>
            </w:r>
            <w:r w:rsidR="00D24188" w:rsidRPr="00BD2A24">
              <w:rPr>
                <w:rFonts w:ascii="Times New Roman" w:eastAsia="Times New Roman" w:hAnsi="Times New Roman" w:cs="Times New Roman"/>
                <w:sz w:val="24"/>
                <w:szCs w:val="24"/>
                <w:lang w:eastAsia="lv-LV"/>
              </w:rPr>
              <w:t xml:space="preserve"> </w:t>
            </w:r>
            <w:r w:rsidR="00D24188" w:rsidRPr="00BD2A24">
              <w:rPr>
                <w:rFonts w:ascii="Times New Roman" w:hAnsi="Times New Roman" w:cs="Times New Roman"/>
                <w:sz w:val="24"/>
                <w:szCs w:val="24"/>
              </w:rPr>
              <w:t>lai Latvijas Banka atbilstoši Latvijas Bankas likuma 48.</w:t>
            </w:r>
            <w:r w:rsidR="00773BD8">
              <w:rPr>
                <w:rFonts w:ascii="Times New Roman" w:hAnsi="Times New Roman" w:cs="Times New Roman"/>
                <w:sz w:val="24"/>
                <w:szCs w:val="24"/>
              </w:rPr>
              <w:t> </w:t>
            </w:r>
            <w:r w:rsidR="00D24188" w:rsidRPr="00BD2A24">
              <w:rPr>
                <w:rFonts w:ascii="Times New Roman" w:hAnsi="Times New Roman" w:cs="Times New Roman"/>
                <w:sz w:val="24"/>
                <w:szCs w:val="24"/>
              </w:rPr>
              <w:t xml:space="preserve">panta pirmajai un otrajai daļai nodrošinātu stabila un normatīvajiem aktiem atbilstoša finanšu sektora darbību, kā arī </w:t>
            </w:r>
            <w:r w:rsidR="00AB37DA">
              <w:rPr>
                <w:rFonts w:ascii="Times New Roman" w:hAnsi="Times New Roman" w:cs="Times New Roman"/>
                <w:sz w:val="24"/>
                <w:szCs w:val="24"/>
              </w:rPr>
              <w:t xml:space="preserve">lai </w:t>
            </w:r>
            <w:r w:rsidR="00D24188" w:rsidRPr="00BD2A24">
              <w:rPr>
                <w:rFonts w:ascii="Times New Roman" w:hAnsi="Times New Roman" w:cs="Times New Roman"/>
                <w:sz w:val="24"/>
                <w:szCs w:val="24"/>
              </w:rPr>
              <w:t>nodrošinātu Likumā noteiktā deleģējuma izpildi</w:t>
            </w:r>
            <w:r w:rsidR="00AB37DA">
              <w:rPr>
                <w:rFonts w:ascii="Times New Roman" w:hAnsi="Times New Roman" w:cs="Times New Roman"/>
                <w:sz w:val="24"/>
                <w:szCs w:val="24"/>
              </w:rPr>
              <w:t xml:space="preserve"> un</w:t>
            </w:r>
            <w:r w:rsidR="008C7FA5" w:rsidRPr="00BD2A24">
              <w:rPr>
                <w:rFonts w:ascii="Times New Roman" w:eastAsia="Times New Roman" w:hAnsi="Times New Roman" w:cs="Times New Roman"/>
                <w:sz w:val="24"/>
                <w:szCs w:val="24"/>
                <w:lang w:eastAsia="lv-LV"/>
              </w:rPr>
              <w:t xml:space="preserve"> </w:t>
            </w:r>
            <w:r w:rsidR="00D24188" w:rsidRPr="00BD2A24">
              <w:rPr>
                <w:rFonts w:ascii="Times New Roman" w:eastAsia="Times New Roman" w:hAnsi="Times New Roman" w:cs="Times New Roman"/>
                <w:sz w:val="24"/>
                <w:szCs w:val="24"/>
                <w:lang w:eastAsia="lv-LV"/>
              </w:rPr>
              <w:t xml:space="preserve">visaptveroši </w:t>
            </w:r>
            <w:r w:rsidR="008C7FA5" w:rsidRPr="00BD2A24">
              <w:rPr>
                <w:rFonts w:ascii="Times New Roman" w:eastAsia="Times New Roman" w:hAnsi="Times New Roman" w:cs="Times New Roman"/>
                <w:sz w:val="24"/>
                <w:szCs w:val="24"/>
                <w:lang w:eastAsia="lv-LV"/>
              </w:rPr>
              <w:t xml:space="preserve">ieviestu </w:t>
            </w:r>
            <w:r w:rsidR="00095DF2" w:rsidRPr="00095DF2">
              <w:rPr>
                <w:rFonts w:ascii="Times New Roman" w:eastAsia="Times New Roman" w:hAnsi="Times New Roman" w:cs="Times New Roman"/>
                <w:sz w:val="24"/>
                <w:szCs w:val="24"/>
                <w:lang w:eastAsia="lv-LV"/>
              </w:rPr>
              <w:t xml:space="preserve">Komisijas </w:t>
            </w:r>
            <w:r w:rsidR="00095DF2" w:rsidRPr="004C11D5">
              <w:rPr>
                <w:rFonts w:ascii="Times New Roman" w:eastAsia="Times New Roman" w:hAnsi="Times New Roman" w:cs="Times New Roman"/>
                <w:sz w:val="24"/>
                <w:szCs w:val="24"/>
                <w:lang w:eastAsia="lv-LV"/>
              </w:rPr>
              <w:t>2010.</w:t>
            </w:r>
            <w:r w:rsidR="004666BE">
              <w:rPr>
                <w:rFonts w:ascii="Times New Roman" w:eastAsia="Times New Roman" w:hAnsi="Times New Roman" w:cs="Times New Roman"/>
                <w:sz w:val="24"/>
                <w:szCs w:val="24"/>
                <w:lang w:eastAsia="lv-LV"/>
              </w:rPr>
              <w:t> </w:t>
            </w:r>
            <w:r w:rsidR="00095DF2" w:rsidRPr="004C11D5">
              <w:rPr>
                <w:rFonts w:ascii="Times New Roman" w:eastAsia="Times New Roman" w:hAnsi="Times New Roman" w:cs="Times New Roman"/>
                <w:sz w:val="24"/>
                <w:szCs w:val="24"/>
                <w:lang w:eastAsia="lv-LV"/>
              </w:rPr>
              <w:t xml:space="preserve">gada 1. jūlija </w:t>
            </w:r>
            <w:r w:rsidR="008C7FA5" w:rsidRPr="00095DF2">
              <w:rPr>
                <w:rFonts w:ascii="Times New Roman" w:eastAsia="Times New Roman" w:hAnsi="Times New Roman" w:cs="Times New Roman"/>
                <w:sz w:val="24"/>
                <w:szCs w:val="24"/>
                <w:lang w:eastAsia="lv-LV"/>
              </w:rPr>
              <w:t>Direktīvas</w:t>
            </w:r>
            <w:r w:rsidR="00773BD8" w:rsidRPr="00095DF2">
              <w:rPr>
                <w:rFonts w:ascii="Times New Roman" w:eastAsia="Times New Roman" w:hAnsi="Times New Roman" w:cs="Times New Roman"/>
                <w:sz w:val="24"/>
                <w:szCs w:val="24"/>
                <w:lang w:eastAsia="lv-LV"/>
              </w:rPr>
              <w:t> </w:t>
            </w:r>
            <w:r w:rsidR="008C7FA5" w:rsidRPr="00095DF2">
              <w:rPr>
                <w:rFonts w:ascii="Times New Roman" w:eastAsia="Times New Roman" w:hAnsi="Times New Roman" w:cs="Times New Roman"/>
                <w:sz w:val="24"/>
                <w:szCs w:val="24"/>
                <w:lang w:eastAsia="lv-LV"/>
              </w:rPr>
              <w:t>2010/44</w:t>
            </w:r>
            <w:r w:rsidR="00773BD8" w:rsidRPr="00095DF2">
              <w:rPr>
                <w:rFonts w:ascii="Times New Roman" w:eastAsia="Times New Roman" w:hAnsi="Times New Roman" w:cs="Times New Roman"/>
                <w:sz w:val="24"/>
                <w:szCs w:val="24"/>
                <w:lang w:eastAsia="lv-LV"/>
              </w:rPr>
              <w:t>/ES</w:t>
            </w:r>
            <w:r w:rsidR="00095DF2">
              <w:rPr>
                <w:rFonts w:ascii="Times New Roman" w:eastAsia="Times New Roman" w:hAnsi="Times New Roman" w:cs="Times New Roman"/>
                <w:sz w:val="24"/>
                <w:szCs w:val="24"/>
                <w:lang w:eastAsia="lv-LV"/>
              </w:rPr>
              <w:t>,</w:t>
            </w:r>
            <w:r w:rsidR="008C7FA5" w:rsidRPr="00095DF2">
              <w:rPr>
                <w:rFonts w:ascii="Times New Roman" w:eastAsia="Times New Roman" w:hAnsi="Times New Roman" w:cs="Times New Roman"/>
                <w:sz w:val="24"/>
                <w:szCs w:val="24"/>
                <w:lang w:eastAsia="lv-LV"/>
              </w:rPr>
              <w:t xml:space="preserve"> </w:t>
            </w:r>
            <w:r w:rsidR="00095DF2" w:rsidRPr="004C11D5">
              <w:rPr>
                <w:rFonts w:ascii="Times New Roman" w:eastAsia="Times New Roman" w:hAnsi="Times New Roman" w:cs="Times New Roman"/>
                <w:sz w:val="24"/>
                <w:szCs w:val="24"/>
                <w:lang w:eastAsia="lv-LV"/>
              </w:rPr>
              <w:t>ar kuru īsteno Eiropas Parlamenta un Padomes Direktīvu</w:t>
            </w:r>
            <w:r w:rsidR="0022738F">
              <w:rPr>
                <w:rFonts w:ascii="Times New Roman" w:eastAsia="Times New Roman" w:hAnsi="Times New Roman" w:cs="Times New Roman"/>
                <w:sz w:val="24"/>
                <w:szCs w:val="24"/>
                <w:lang w:eastAsia="lv-LV"/>
              </w:rPr>
              <w:t> </w:t>
            </w:r>
            <w:r w:rsidR="00095DF2" w:rsidRPr="004C11D5">
              <w:rPr>
                <w:rFonts w:ascii="Times New Roman" w:eastAsia="Times New Roman" w:hAnsi="Times New Roman" w:cs="Times New Roman"/>
                <w:sz w:val="24"/>
                <w:szCs w:val="24"/>
                <w:lang w:eastAsia="lv-LV"/>
              </w:rPr>
              <w:t>2009/65/EK attiecībā uz dažiem noteikumiem par fondu apvienošanu, galvenajām-pakārtotajām struktūrām un paziņošanas procedūru</w:t>
            </w:r>
            <w:r w:rsidR="00095DF2">
              <w:rPr>
                <w:rFonts w:ascii="Times New Roman" w:eastAsia="Times New Roman" w:hAnsi="Times New Roman" w:cs="Times New Roman"/>
                <w:sz w:val="24"/>
                <w:szCs w:val="24"/>
                <w:lang w:eastAsia="lv-LV"/>
              </w:rPr>
              <w:t xml:space="preserve"> (turpmāk –</w:t>
            </w:r>
            <w:r w:rsidR="004666BE" w:rsidRPr="00D27C28">
              <w:rPr>
                <w:rFonts w:ascii="Times New Roman" w:eastAsia="Times New Roman" w:hAnsi="Times New Roman" w:cs="Times New Roman"/>
                <w:sz w:val="24"/>
                <w:szCs w:val="24"/>
                <w:lang w:eastAsia="lv-LV"/>
              </w:rPr>
              <w:t xml:space="preserve"> </w:t>
            </w:r>
            <w:r w:rsidR="00095DF2" w:rsidRPr="00095DF2">
              <w:rPr>
                <w:rFonts w:ascii="Times New Roman" w:eastAsia="Times New Roman" w:hAnsi="Times New Roman" w:cs="Times New Roman"/>
                <w:sz w:val="24"/>
                <w:szCs w:val="24"/>
                <w:lang w:eastAsia="lv-LV"/>
              </w:rPr>
              <w:t>Direktīva 2010/44/ES</w:t>
            </w:r>
            <w:r w:rsidR="00095DF2">
              <w:rPr>
                <w:rFonts w:ascii="Times New Roman" w:eastAsia="Times New Roman" w:hAnsi="Times New Roman" w:cs="Times New Roman"/>
                <w:sz w:val="24"/>
                <w:szCs w:val="24"/>
                <w:lang w:eastAsia="lv-LV"/>
              </w:rPr>
              <w:t>)</w:t>
            </w:r>
            <w:r w:rsidR="00095DF2" w:rsidRPr="00095DF2">
              <w:rPr>
                <w:rFonts w:ascii="Times New Roman" w:eastAsia="Times New Roman" w:hAnsi="Times New Roman" w:cs="Times New Roman"/>
                <w:sz w:val="24"/>
                <w:szCs w:val="24"/>
                <w:lang w:eastAsia="lv-LV"/>
              </w:rPr>
              <w:t xml:space="preserve"> </w:t>
            </w:r>
            <w:r w:rsidR="008C7FA5" w:rsidRPr="00BD2A24">
              <w:rPr>
                <w:rFonts w:ascii="Times New Roman" w:eastAsia="Times New Roman" w:hAnsi="Times New Roman" w:cs="Times New Roman"/>
                <w:sz w:val="24"/>
                <w:szCs w:val="24"/>
                <w:lang w:eastAsia="lv-LV"/>
              </w:rPr>
              <w:t>prasības attiecībā uz fondu apvienošanu, galvenajām un pakārtotajām struktūrām un paziņošanas procedūru.</w:t>
            </w:r>
          </w:p>
          <w:p w14:paraId="3C6D8048" w14:textId="69646ABB" w:rsidR="00F934C4" w:rsidRPr="00BD2A24" w:rsidRDefault="00F934C4" w:rsidP="009F04B3">
            <w:pPr>
              <w:spacing w:after="0" w:line="240" w:lineRule="auto"/>
              <w:jc w:val="both"/>
              <w:rPr>
                <w:rFonts w:ascii="Times New Roman" w:eastAsia="Times New Roman" w:hAnsi="Times New Roman" w:cs="Times New Roman"/>
                <w:sz w:val="24"/>
                <w:szCs w:val="24"/>
                <w:lang w:eastAsia="lv-LV"/>
              </w:rPr>
            </w:pPr>
          </w:p>
        </w:tc>
      </w:tr>
      <w:tr w:rsidR="000B4E0A" w:rsidRPr="00BD2A24" w14:paraId="60467B3E" w14:textId="77777777" w:rsidTr="00E253DA">
        <w:trPr>
          <w:trHeight w:val="567"/>
        </w:trPr>
        <w:tc>
          <w:tcPr>
            <w:tcW w:w="1796" w:type="pct"/>
            <w:hideMark/>
          </w:tcPr>
          <w:p w14:paraId="3D4F8C80"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Samērīgums</w:t>
            </w:r>
          </w:p>
          <w:p w14:paraId="2FCDE23E"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3B4265DC" w14:textId="14C9684E" w:rsidR="005C2902" w:rsidRPr="00BD2A24" w:rsidRDefault="005C2902" w:rsidP="009F04B3">
            <w:pPr>
              <w:pStyle w:val="NApunkts1"/>
              <w:numPr>
                <w:ilvl w:val="0"/>
                <w:numId w:val="0"/>
              </w:numPr>
              <w:spacing w:before="0"/>
            </w:pPr>
            <w:r w:rsidRPr="00BD2A24">
              <w:t>Noteikumu projekts paredz</w:t>
            </w:r>
            <w:r w:rsidR="009840E0">
              <w:t xml:space="preserve"> </w:t>
            </w:r>
            <w:r w:rsidR="00095DF2" w:rsidRPr="009840E0">
              <w:t>galvenā fonda revidenta un pakārtotā fonda revidenta vienošanās par informācijas apmaiņu saturu</w:t>
            </w:r>
            <w:r w:rsidR="00095DF2">
              <w:t xml:space="preserve"> </w:t>
            </w:r>
            <w:r w:rsidR="009840E0">
              <w:t xml:space="preserve">gadījumos, kad </w:t>
            </w:r>
            <w:r w:rsidR="009840E0" w:rsidRPr="009840E0">
              <w:t>galvenajam fondam un pakārtotajam fondam ir dažādi revidenti. Tāpat tas paredz citās dalībvalstīs reģistrēto ieguldījumu fondu ieguldījumu apliecību izplatīšanas kārtību Latvijā</w:t>
            </w:r>
            <w:r w:rsidR="009830C2" w:rsidRPr="00BD2A24">
              <w:t>.</w:t>
            </w:r>
          </w:p>
          <w:p w14:paraId="14456F32" w14:textId="77777777" w:rsidR="00232917" w:rsidRPr="00BD2A24" w:rsidRDefault="00232917" w:rsidP="008C7FA5">
            <w:pPr>
              <w:spacing w:after="0" w:line="240" w:lineRule="auto"/>
              <w:jc w:val="both"/>
              <w:rPr>
                <w:rFonts w:ascii="Times New Roman" w:eastAsia="Times New Roman" w:hAnsi="Times New Roman" w:cs="Times New Roman"/>
                <w:sz w:val="24"/>
                <w:szCs w:val="24"/>
                <w:lang w:eastAsia="lv-LV"/>
              </w:rPr>
            </w:pPr>
          </w:p>
          <w:p w14:paraId="6EE7DCDE" w14:textId="5CD6CFE9" w:rsidR="00232917" w:rsidRPr="00BD2A24" w:rsidRDefault="008C7FA5" w:rsidP="009F04B3">
            <w:pPr>
              <w:spacing w:after="0" w:line="240" w:lineRule="auto"/>
              <w:jc w:val="both"/>
              <w:rPr>
                <w:rFonts w:ascii="Times New Roman" w:hAnsi="Times New Roman" w:cs="Times New Roman"/>
                <w:sz w:val="24"/>
                <w:szCs w:val="24"/>
              </w:rPr>
            </w:pPr>
            <w:r w:rsidRPr="00BD2A24">
              <w:rPr>
                <w:rFonts w:ascii="Times New Roman" w:eastAsia="Times New Roman" w:hAnsi="Times New Roman" w:cs="Times New Roman"/>
                <w:sz w:val="24"/>
                <w:szCs w:val="24"/>
                <w:lang w:eastAsia="lv-LV"/>
              </w:rPr>
              <w:t xml:space="preserve">Izraugoties piemērotāko līdzekli leģitīmā mērķa sasniegšanai, </w:t>
            </w:r>
            <w:r w:rsidR="00232917" w:rsidRPr="00BD2A24">
              <w:rPr>
                <w:rFonts w:ascii="Times New Roman" w:eastAsia="Times New Roman" w:hAnsi="Times New Roman" w:cs="Times New Roman"/>
                <w:sz w:val="24"/>
                <w:szCs w:val="24"/>
                <w:lang w:eastAsia="lv-LV"/>
              </w:rPr>
              <w:t>Latvijas Banka</w:t>
            </w:r>
            <w:r w:rsidRPr="00BD2A24">
              <w:rPr>
                <w:rFonts w:ascii="Times New Roman" w:eastAsia="Times New Roman" w:hAnsi="Times New Roman" w:cs="Times New Roman"/>
                <w:sz w:val="24"/>
                <w:szCs w:val="24"/>
                <w:lang w:eastAsia="lv-LV"/>
              </w:rPr>
              <w:t xml:space="preserve"> izvērtēja, ka nebūtu atbilstoši izdot, piemēram, zemāka līmeņa normatīvos aktus, kuri nebūtu ieguldījumu pārvaldes sabiedrībām juridiski saistoši (piemēram, ieteikumi). Līdz ar to atbilstošākais veids, kā noteikt vienotas prasības</w:t>
            </w:r>
            <w:r w:rsidR="005F4754" w:rsidRPr="00BD2A24">
              <w:rPr>
                <w:rFonts w:ascii="Times New Roman" w:eastAsia="Times New Roman" w:hAnsi="Times New Roman" w:cs="Times New Roman"/>
                <w:sz w:val="24"/>
                <w:szCs w:val="24"/>
                <w:lang w:eastAsia="lv-LV"/>
              </w:rPr>
              <w:t xml:space="preserve"> fondu apvienošanai</w:t>
            </w:r>
            <w:r w:rsidR="00095DF2">
              <w:rPr>
                <w:rFonts w:ascii="Times New Roman" w:eastAsia="Times New Roman" w:hAnsi="Times New Roman" w:cs="Times New Roman"/>
                <w:sz w:val="24"/>
                <w:szCs w:val="24"/>
                <w:lang w:eastAsia="lv-LV"/>
              </w:rPr>
              <w:t xml:space="preserve"> un</w:t>
            </w:r>
            <w:r w:rsidR="005F4754" w:rsidRPr="00BD2A24">
              <w:rPr>
                <w:rFonts w:ascii="Times New Roman" w:eastAsia="Times New Roman" w:hAnsi="Times New Roman" w:cs="Times New Roman"/>
                <w:sz w:val="24"/>
                <w:szCs w:val="24"/>
                <w:lang w:eastAsia="lv-LV"/>
              </w:rPr>
              <w:t xml:space="preserve"> galvenās un pakārtotās struktūras darījumiem, </w:t>
            </w:r>
            <w:r w:rsidR="005F4754" w:rsidRPr="00BD2A24">
              <w:rPr>
                <w:rFonts w:ascii="Times New Roman" w:hAnsi="Times New Roman" w:cs="Times New Roman"/>
                <w:sz w:val="24"/>
                <w:szCs w:val="24"/>
              </w:rPr>
              <w:t>k</w:t>
            </w:r>
            <w:r w:rsidR="00095DF2">
              <w:rPr>
                <w:rFonts w:ascii="Times New Roman" w:hAnsi="Times New Roman" w:cs="Times New Roman"/>
                <w:sz w:val="24"/>
                <w:szCs w:val="24"/>
              </w:rPr>
              <w:t>ur</w:t>
            </w:r>
            <w:r w:rsidR="005F4754" w:rsidRPr="00BD2A24">
              <w:rPr>
                <w:rFonts w:ascii="Times New Roman" w:hAnsi="Times New Roman" w:cs="Times New Roman"/>
                <w:sz w:val="24"/>
                <w:szCs w:val="24"/>
              </w:rPr>
              <w:t xml:space="preserve">as nodrošina </w:t>
            </w:r>
            <w:r w:rsidR="00EC6495" w:rsidRPr="00BD2A24">
              <w:rPr>
                <w:rFonts w:ascii="Times New Roman" w:eastAsia="Times New Roman" w:hAnsi="Times New Roman" w:cs="Times New Roman"/>
                <w:sz w:val="24"/>
                <w:szCs w:val="24"/>
                <w:lang w:eastAsia="lv-LV"/>
              </w:rPr>
              <w:t>L</w:t>
            </w:r>
            <w:r w:rsidR="005F4754" w:rsidRPr="00BD2A24">
              <w:rPr>
                <w:rFonts w:ascii="Times New Roman" w:hAnsi="Times New Roman" w:cs="Times New Roman"/>
                <w:sz w:val="24"/>
                <w:szCs w:val="24"/>
              </w:rPr>
              <w:t xml:space="preserve">ikuma </w:t>
            </w:r>
            <w:r w:rsidR="005F4754" w:rsidRPr="00BD2A24">
              <w:rPr>
                <w:rFonts w:ascii="Times New Roman" w:eastAsia="Times New Roman" w:hAnsi="Times New Roman" w:cs="Times New Roman"/>
                <w:sz w:val="24"/>
                <w:szCs w:val="24"/>
                <w:lang w:eastAsia="lv-LV"/>
              </w:rPr>
              <w:t>34.</w:t>
            </w:r>
            <w:r w:rsidR="005F4754" w:rsidRPr="00BD2A24">
              <w:rPr>
                <w:rFonts w:ascii="Times New Roman" w:eastAsia="Times New Roman" w:hAnsi="Times New Roman" w:cs="Times New Roman"/>
                <w:sz w:val="24"/>
                <w:szCs w:val="24"/>
                <w:vertAlign w:val="superscript"/>
                <w:lang w:eastAsia="lv-LV"/>
              </w:rPr>
              <w:t>1</w:t>
            </w:r>
            <w:r w:rsidR="00773BD8">
              <w:rPr>
                <w:rFonts w:ascii="Times New Roman" w:eastAsia="Times New Roman" w:hAnsi="Times New Roman" w:cs="Times New Roman"/>
                <w:sz w:val="24"/>
                <w:szCs w:val="24"/>
                <w:vertAlign w:val="superscript"/>
                <w:lang w:eastAsia="lv-LV"/>
              </w:rPr>
              <w:t> </w:t>
            </w:r>
            <w:r w:rsidR="005F4754" w:rsidRPr="00BD2A24">
              <w:rPr>
                <w:rFonts w:ascii="Times New Roman" w:eastAsia="Times New Roman" w:hAnsi="Times New Roman" w:cs="Times New Roman"/>
                <w:sz w:val="24"/>
                <w:szCs w:val="24"/>
                <w:lang w:eastAsia="lv-LV"/>
              </w:rPr>
              <w:t>panta septiņpadsmit</w:t>
            </w:r>
            <w:r w:rsidR="00CD493C">
              <w:rPr>
                <w:rFonts w:ascii="Times New Roman" w:eastAsia="Times New Roman" w:hAnsi="Times New Roman" w:cs="Times New Roman"/>
                <w:sz w:val="24"/>
                <w:szCs w:val="24"/>
                <w:lang w:eastAsia="lv-LV"/>
              </w:rPr>
              <w:t>aj</w:t>
            </w:r>
            <w:r w:rsidR="005F4754" w:rsidRPr="00BD2A24">
              <w:rPr>
                <w:rFonts w:ascii="Times New Roman" w:eastAsia="Times New Roman" w:hAnsi="Times New Roman" w:cs="Times New Roman"/>
                <w:sz w:val="24"/>
                <w:szCs w:val="24"/>
                <w:lang w:eastAsia="lv-LV"/>
              </w:rPr>
              <w:t>ā daļā, 71.</w:t>
            </w:r>
            <w:r w:rsidR="005F4754" w:rsidRPr="00BD2A24">
              <w:rPr>
                <w:rFonts w:ascii="Times New Roman" w:eastAsia="Times New Roman" w:hAnsi="Times New Roman" w:cs="Times New Roman"/>
                <w:sz w:val="24"/>
                <w:szCs w:val="24"/>
                <w:vertAlign w:val="superscript"/>
                <w:lang w:eastAsia="lv-LV"/>
              </w:rPr>
              <w:t>3</w:t>
            </w:r>
            <w:r w:rsidR="00773BD8">
              <w:rPr>
                <w:rFonts w:ascii="Times New Roman" w:eastAsia="Times New Roman" w:hAnsi="Times New Roman" w:cs="Times New Roman"/>
                <w:sz w:val="24"/>
                <w:szCs w:val="24"/>
                <w:vertAlign w:val="superscript"/>
                <w:lang w:eastAsia="lv-LV"/>
              </w:rPr>
              <w:t> </w:t>
            </w:r>
            <w:r w:rsidR="005F4754" w:rsidRPr="00BD2A24">
              <w:rPr>
                <w:rFonts w:ascii="Times New Roman" w:eastAsia="Times New Roman" w:hAnsi="Times New Roman" w:cs="Times New Roman"/>
                <w:sz w:val="24"/>
                <w:szCs w:val="24"/>
                <w:lang w:eastAsia="lv-LV"/>
              </w:rPr>
              <w:t>panta otrajā, devītajā un divpadsmitajā daļā</w:t>
            </w:r>
            <w:r w:rsidR="009840E0">
              <w:rPr>
                <w:rFonts w:ascii="Times New Roman" w:eastAsia="Times New Roman" w:hAnsi="Times New Roman" w:cs="Times New Roman"/>
                <w:sz w:val="24"/>
                <w:szCs w:val="24"/>
                <w:lang w:eastAsia="lv-LV"/>
              </w:rPr>
              <w:t>,</w:t>
            </w:r>
            <w:r w:rsidR="005F4754" w:rsidRPr="00BD2A24">
              <w:rPr>
                <w:rFonts w:ascii="Times New Roman" w:eastAsia="Times New Roman" w:hAnsi="Times New Roman" w:cs="Times New Roman"/>
                <w:sz w:val="24"/>
                <w:szCs w:val="24"/>
                <w:lang w:eastAsia="lv-LV"/>
              </w:rPr>
              <w:t xml:space="preserve"> 71.</w:t>
            </w:r>
            <w:r w:rsidR="005F4754" w:rsidRPr="00BD2A24">
              <w:rPr>
                <w:rFonts w:ascii="Times New Roman" w:eastAsia="Times New Roman" w:hAnsi="Times New Roman" w:cs="Times New Roman"/>
                <w:sz w:val="24"/>
                <w:szCs w:val="24"/>
                <w:vertAlign w:val="superscript"/>
                <w:lang w:eastAsia="lv-LV"/>
              </w:rPr>
              <w:t>4</w:t>
            </w:r>
            <w:r w:rsidR="00773BD8">
              <w:rPr>
                <w:rFonts w:ascii="Times New Roman" w:eastAsia="Times New Roman" w:hAnsi="Times New Roman" w:cs="Times New Roman"/>
                <w:sz w:val="24"/>
                <w:szCs w:val="24"/>
                <w:vertAlign w:val="superscript"/>
                <w:lang w:eastAsia="lv-LV"/>
              </w:rPr>
              <w:t> </w:t>
            </w:r>
            <w:r w:rsidR="005F4754" w:rsidRPr="00BD2A24">
              <w:rPr>
                <w:rFonts w:ascii="Times New Roman" w:eastAsia="Times New Roman" w:hAnsi="Times New Roman" w:cs="Times New Roman"/>
                <w:sz w:val="24"/>
                <w:szCs w:val="24"/>
                <w:lang w:eastAsia="lv-LV"/>
              </w:rPr>
              <w:t>panta pirmajā</w:t>
            </w:r>
            <w:r w:rsidR="009840E0">
              <w:rPr>
                <w:rFonts w:ascii="Times New Roman" w:eastAsia="Times New Roman" w:hAnsi="Times New Roman" w:cs="Times New Roman"/>
                <w:sz w:val="24"/>
                <w:szCs w:val="24"/>
                <w:lang w:eastAsia="lv-LV"/>
              </w:rPr>
              <w:t xml:space="preserve"> un </w:t>
            </w:r>
            <w:r w:rsidR="00BF35C9">
              <w:rPr>
                <w:rFonts w:ascii="Times New Roman" w:eastAsia="Times New Roman" w:hAnsi="Times New Roman" w:cs="Times New Roman"/>
                <w:sz w:val="24"/>
                <w:szCs w:val="24"/>
                <w:lang w:eastAsia="lv-LV"/>
              </w:rPr>
              <w:t>septīt</w:t>
            </w:r>
            <w:r w:rsidR="009840E0">
              <w:rPr>
                <w:rFonts w:ascii="Times New Roman" w:eastAsia="Times New Roman" w:hAnsi="Times New Roman" w:cs="Times New Roman"/>
                <w:sz w:val="24"/>
                <w:szCs w:val="24"/>
                <w:lang w:eastAsia="lv-LV"/>
              </w:rPr>
              <w:t>ajā</w:t>
            </w:r>
            <w:r w:rsidR="005F4754" w:rsidRPr="00BD2A24">
              <w:rPr>
                <w:rFonts w:ascii="Times New Roman" w:eastAsia="Times New Roman" w:hAnsi="Times New Roman" w:cs="Times New Roman"/>
                <w:sz w:val="24"/>
                <w:szCs w:val="24"/>
                <w:lang w:eastAsia="lv-LV"/>
              </w:rPr>
              <w:t xml:space="preserve"> </w:t>
            </w:r>
            <w:r w:rsidR="00095DF2">
              <w:rPr>
                <w:rFonts w:ascii="Times New Roman" w:eastAsia="Times New Roman" w:hAnsi="Times New Roman" w:cs="Times New Roman"/>
                <w:sz w:val="24"/>
                <w:szCs w:val="24"/>
                <w:lang w:eastAsia="lv-LV"/>
              </w:rPr>
              <w:t>d</w:t>
            </w:r>
            <w:r w:rsidR="005F4754" w:rsidRPr="00BD2A24">
              <w:rPr>
                <w:rFonts w:ascii="Times New Roman" w:eastAsia="Times New Roman" w:hAnsi="Times New Roman" w:cs="Times New Roman"/>
                <w:sz w:val="24"/>
                <w:szCs w:val="24"/>
                <w:lang w:eastAsia="lv-LV"/>
              </w:rPr>
              <w:t>aļā</w:t>
            </w:r>
            <w:r w:rsidR="009840E0">
              <w:rPr>
                <w:rFonts w:ascii="Times New Roman" w:eastAsia="Times New Roman" w:hAnsi="Times New Roman" w:cs="Times New Roman"/>
                <w:sz w:val="24"/>
                <w:szCs w:val="24"/>
                <w:lang w:eastAsia="lv-LV"/>
              </w:rPr>
              <w:t xml:space="preserve"> un </w:t>
            </w:r>
            <w:r w:rsidR="009840E0" w:rsidRPr="00F369A0">
              <w:rPr>
                <w:rFonts w:ascii="Times New Roman" w:eastAsia="Times New Roman" w:hAnsi="Times New Roman" w:cs="Times New Roman"/>
                <w:sz w:val="24"/>
                <w:szCs w:val="24"/>
                <w:lang w:eastAsia="lv-LV"/>
              </w:rPr>
              <w:t>77.</w:t>
            </w:r>
            <w:r w:rsidR="009840E0" w:rsidRPr="00F369A0">
              <w:rPr>
                <w:rFonts w:ascii="Times New Roman" w:eastAsia="Times New Roman" w:hAnsi="Times New Roman" w:cs="Times New Roman"/>
                <w:sz w:val="24"/>
                <w:szCs w:val="24"/>
                <w:vertAlign w:val="superscript"/>
                <w:lang w:eastAsia="lv-LV"/>
              </w:rPr>
              <w:t>3</w:t>
            </w:r>
            <w:r w:rsidR="009840E0" w:rsidRPr="00F369A0">
              <w:rPr>
                <w:rFonts w:ascii="Times New Roman" w:eastAsia="Times New Roman" w:hAnsi="Times New Roman" w:cs="Times New Roman"/>
                <w:sz w:val="24"/>
                <w:szCs w:val="24"/>
                <w:lang w:eastAsia="lv-LV"/>
              </w:rPr>
              <w:t xml:space="preserve"> panta četrpadsmit</w:t>
            </w:r>
            <w:r w:rsidR="009840E0">
              <w:rPr>
                <w:rFonts w:ascii="Times New Roman" w:eastAsia="Times New Roman" w:hAnsi="Times New Roman" w:cs="Times New Roman"/>
                <w:sz w:val="24"/>
                <w:szCs w:val="24"/>
                <w:lang w:eastAsia="lv-LV"/>
              </w:rPr>
              <w:t>ajā daļā</w:t>
            </w:r>
            <w:r w:rsidR="005F4754" w:rsidRPr="00BD2A24">
              <w:rPr>
                <w:rFonts w:ascii="Times New Roman" w:hAnsi="Times New Roman" w:cs="Times New Roman"/>
                <w:sz w:val="24"/>
                <w:szCs w:val="24"/>
              </w:rPr>
              <w:t xml:space="preserve"> noteikto prasību izpildi</w:t>
            </w:r>
            <w:r w:rsidR="00B406CB" w:rsidRPr="00BD2A24">
              <w:rPr>
                <w:rFonts w:ascii="Times New Roman" w:hAnsi="Times New Roman" w:cs="Times New Roman"/>
                <w:sz w:val="24"/>
                <w:szCs w:val="24"/>
              </w:rPr>
              <w:t xml:space="preserve"> un attiecīgi nodrošina </w:t>
            </w:r>
            <w:r w:rsidR="00B406CB" w:rsidRPr="00BD2A24">
              <w:rPr>
                <w:rFonts w:ascii="Times New Roman" w:eastAsia="Times New Roman" w:hAnsi="Times New Roman" w:cs="Times New Roman"/>
                <w:sz w:val="24"/>
                <w:szCs w:val="24"/>
                <w:lang w:eastAsia="lv-LV"/>
              </w:rPr>
              <w:t>Direktīv</w:t>
            </w:r>
            <w:r w:rsidR="001A0BEC">
              <w:rPr>
                <w:rFonts w:ascii="Times New Roman" w:eastAsia="Times New Roman" w:hAnsi="Times New Roman" w:cs="Times New Roman"/>
                <w:sz w:val="24"/>
                <w:szCs w:val="24"/>
                <w:lang w:eastAsia="lv-LV"/>
              </w:rPr>
              <w:t>ā</w:t>
            </w:r>
            <w:r w:rsidR="004666BE">
              <w:rPr>
                <w:rFonts w:ascii="Times New Roman" w:eastAsia="Times New Roman" w:hAnsi="Times New Roman" w:cs="Times New Roman"/>
                <w:sz w:val="24"/>
                <w:szCs w:val="24"/>
                <w:lang w:eastAsia="lv-LV"/>
              </w:rPr>
              <w:t> </w:t>
            </w:r>
            <w:r w:rsidR="00B406CB" w:rsidRPr="00BD2A24">
              <w:rPr>
                <w:rFonts w:ascii="Times New Roman" w:eastAsia="Times New Roman" w:hAnsi="Times New Roman" w:cs="Times New Roman"/>
                <w:sz w:val="24"/>
                <w:szCs w:val="24"/>
                <w:lang w:eastAsia="lv-LV"/>
              </w:rPr>
              <w:t>2010/44/ES noteikto prasību ievērošanu,</w:t>
            </w:r>
            <w:r w:rsidR="00B66364" w:rsidRPr="00BD2A24">
              <w:rPr>
                <w:rFonts w:ascii="Times New Roman" w:eastAsia="Times New Roman" w:hAnsi="Times New Roman" w:cs="Times New Roman"/>
                <w:sz w:val="24"/>
                <w:szCs w:val="24"/>
                <w:lang w:eastAsia="lv-LV"/>
              </w:rPr>
              <w:t xml:space="preserve"> </w:t>
            </w:r>
            <w:r w:rsidR="005F4754" w:rsidRPr="00BD2A24">
              <w:rPr>
                <w:rFonts w:ascii="Times New Roman" w:hAnsi="Times New Roman" w:cs="Times New Roman"/>
                <w:sz w:val="24"/>
                <w:szCs w:val="24"/>
              </w:rPr>
              <w:t>ir izdot finanšu tirgus dalībniekiem saistošus noteikumus.</w:t>
            </w:r>
          </w:p>
          <w:p w14:paraId="223A90DF" w14:textId="77777777" w:rsidR="005446F1" w:rsidRPr="00BD2A24" w:rsidRDefault="005446F1" w:rsidP="005446F1">
            <w:pPr>
              <w:spacing w:after="0" w:line="240" w:lineRule="auto"/>
              <w:jc w:val="both"/>
              <w:rPr>
                <w:rFonts w:ascii="Times New Roman" w:hAnsi="Times New Roman" w:cs="Times New Roman"/>
                <w:sz w:val="24"/>
                <w:szCs w:val="24"/>
              </w:rPr>
            </w:pPr>
          </w:p>
          <w:p w14:paraId="06FA507B" w14:textId="0B0AFF20" w:rsidR="00B66364" w:rsidRPr="00BD2A24" w:rsidRDefault="00B66364" w:rsidP="00B66364">
            <w:pPr>
              <w:autoSpaceDE w:val="0"/>
              <w:autoSpaceDN w:val="0"/>
              <w:adjustRightInd w:val="0"/>
              <w:spacing w:after="0" w:line="240" w:lineRule="auto"/>
              <w:jc w:val="both"/>
              <w:rPr>
                <w:rFonts w:ascii="Times New Roman" w:hAnsi="Times New Roman" w:cs="Times New Roman"/>
                <w:sz w:val="24"/>
                <w:szCs w:val="24"/>
              </w:rPr>
            </w:pPr>
            <w:r w:rsidRPr="00BD2A24">
              <w:rPr>
                <w:rFonts w:ascii="Times New Roman" w:hAnsi="Times New Roman" w:cs="Times New Roman"/>
                <w:sz w:val="24"/>
                <w:szCs w:val="24"/>
              </w:rPr>
              <w:t>Ņemot vērā minēto, noteikumu projekts ir piemērots leģitīmā mērķa sasniegšanai, jo nodrošinās, ka Latvijas Bankai būs pietiekama informācija, lai pārliecinātos, ka fond</w:t>
            </w:r>
            <w:r w:rsidR="00FE23F8">
              <w:rPr>
                <w:rFonts w:ascii="Times New Roman" w:hAnsi="Times New Roman" w:cs="Times New Roman"/>
                <w:sz w:val="24"/>
                <w:szCs w:val="24"/>
              </w:rPr>
              <w:t>a</w:t>
            </w:r>
            <w:r w:rsidR="00095DF2">
              <w:rPr>
                <w:rFonts w:ascii="Times New Roman" w:hAnsi="Times New Roman" w:cs="Times New Roman"/>
                <w:sz w:val="24"/>
                <w:szCs w:val="24"/>
              </w:rPr>
              <w:t xml:space="preserve"> un</w:t>
            </w:r>
            <w:r w:rsidRPr="00BD2A24">
              <w:rPr>
                <w:rFonts w:ascii="Times New Roman" w:hAnsi="Times New Roman" w:cs="Times New Roman"/>
                <w:sz w:val="24"/>
                <w:szCs w:val="24"/>
              </w:rPr>
              <w:t xml:space="preserve"> fonda turētājbankas veiktās darbības atbilst Likuma prasībām. Ar citiem līdzekļiem Latvijas Bankai nav iespējas iegūt nepieciešamos dokumentus un informāciju</w:t>
            </w:r>
            <w:r w:rsidR="00095DF2">
              <w:rPr>
                <w:rFonts w:ascii="Times New Roman" w:hAnsi="Times New Roman" w:cs="Times New Roman"/>
                <w:sz w:val="24"/>
                <w:szCs w:val="24"/>
              </w:rPr>
              <w:t>.</w:t>
            </w:r>
            <w:r w:rsidRPr="00BD2A24">
              <w:rPr>
                <w:rFonts w:ascii="Times New Roman" w:hAnsi="Times New Roman" w:cs="Times New Roman"/>
                <w:sz w:val="24"/>
                <w:szCs w:val="24"/>
              </w:rPr>
              <w:t xml:space="preserve"> </w:t>
            </w:r>
            <w:r w:rsidR="00095DF2">
              <w:rPr>
                <w:rFonts w:ascii="Times New Roman" w:hAnsi="Times New Roman" w:cs="Times New Roman"/>
                <w:sz w:val="24"/>
                <w:szCs w:val="24"/>
              </w:rPr>
              <w:t xml:space="preserve">Tāpat </w:t>
            </w:r>
            <w:r w:rsidRPr="00BD2A24">
              <w:rPr>
                <w:rFonts w:ascii="Times New Roman" w:hAnsi="Times New Roman" w:cs="Times New Roman"/>
                <w:sz w:val="24"/>
                <w:szCs w:val="24"/>
              </w:rPr>
              <w:t>noteiktās prasības ir samērīgas, jo dokumentu vai informācijas apjoms ir rūpīgi izvērtēts, neprasot nevajadzīgu informāciju</w:t>
            </w:r>
            <w:r w:rsidR="00FE23F8">
              <w:rPr>
                <w:rFonts w:ascii="Times New Roman" w:hAnsi="Times New Roman" w:cs="Times New Roman"/>
                <w:sz w:val="24"/>
                <w:szCs w:val="24"/>
              </w:rPr>
              <w:t xml:space="preserve"> un</w:t>
            </w:r>
            <w:r w:rsidRPr="00BD2A24">
              <w:rPr>
                <w:rFonts w:ascii="Times New Roman" w:hAnsi="Times New Roman" w:cs="Times New Roman"/>
                <w:sz w:val="24"/>
                <w:szCs w:val="24"/>
              </w:rPr>
              <w:t xml:space="preserve"> tādējādi nodrošinot, </w:t>
            </w:r>
            <w:r w:rsidRPr="00BD2A24">
              <w:rPr>
                <w:rFonts w:ascii="Times New Roman" w:hAnsi="Times New Roman" w:cs="Times New Roman"/>
                <w:sz w:val="24"/>
                <w:szCs w:val="24"/>
              </w:rPr>
              <w:lastRenderedPageBreak/>
              <w:t>ka sabiedrības ieguvums ir lielāks par fonda</w:t>
            </w:r>
            <w:r w:rsidR="00095DF2">
              <w:rPr>
                <w:rFonts w:ascii="Times New Roman" w:hAnsi="Times New Roman" w:cs="Times New Roman"/>
                <w:sz w:val="24"/>
                <w:szCs w:val="24"/>
              </w:rPr>
              <w:t xml:space="preserve"> un</w:t>
            </w:r>
            <w:r w:rsidRPr="00BD2A24">
              <w:rPr>
                <w:rFonts w:ascii="Times New Roman" w:hAnsi="Times New Roman" w:cs="Times New Roman"/>
                <w:sz w:val="24"/>
                <w:szCs w:val="24"/>
              </w:rPr>
              <w:t xml:space="preserve"> fonda turētājbankas tiesību un likumisko interešu ierobežojumu.</w:t>
            </w:r>
          </w:p>
          <w:p w14:paraId="50B35133" w14:textId="77777777" w:rsidR="00B66364" w:rsidRPr="00BD2A24" w:rsidRDefault="00B66364" w:rsidP="00B66364">
            <w:pPr>
              <w:autoSpaceDE w:val="0"/>
              <w:autoSpaceDN w:val="0"/>
              <w:adjustRightInd w:val="0"/>
              <w:spacing w:after="0" w:line="240" w:lineRule="auto"/>
              <w:jc w:val="both"/>
              <w:rPr>
                <w:rFonts w:ascii="Times New Roman" w:hAnsi="Times New Roman" w:cs="Times New Roman"/>
                <w:sz w:val="24"/>
                <w:szCs w:val="24"/>
              </w:rPr>
            </w:pPr>
          </w:p>
          <w:p w14:paraId="3102FC75" w14:textId="55541D5E" w:rsidR="00B66364" w:rsidRPr="00BD2A24" w:rsidRDefault="00B66364" w:rsidP="00B66364">
            <w:pPr>
              <w:spacing w:after="0" w:line="240" w:lineRule="auto"/>
              <w:jc w:val="both"/>
              <w:rPr>
                <w:rFonts w:ascii="Times New Roman" w:hAnsi="Times New Roman" w:cs="Times New Roman"/>
                <w:sz w:val="24"/>
                <w:szCs w:val="24"/>
              </w:rPr>
            </w:pPr>
            <w:r w:rsidRPr="00BD2A24">
              <w:rPr>
                <w:rFonts w:ascii="Times New Roman" w:eastAsia="Times New Roman" w:hAnsi="Times New Roman" w:cs="Times New Roman"/>
                <w:sz w:val="24"/>
                <w:szCs w:val="24"/>
                <w:lang w:eastAsia="lv-LV"/>
              </w:rPr>
              <w:t xml:space="preserve">Citas alternatīvas jautājuma noregulēšanai un vienotu prasību noteikšanai nebūtu efektīvas un nesasniegtu izvirzīto mērķi, jo nenodrošinātu vienveidīgu piemērošanu un </w:t>
            </w:r>
            <w:r w:rsidR="00EC6495" w:rsidRPr="00BD2A24">
              <w:rPr>
                <w:rFonts w:ascii="Times New Roman" w:eastAsia="Times New Roman" w:hAnsi="Times New Roman" w:cs="Times New Roman"/>
                <w:sz w:val="24"/>
                <w:szCs w:val="24"/>
                <w:lang w:eastAsia="lv-LV"/>
              </w:rPr>
              <w:t>L</w:t>
            </w:r>
            <w:r w:rsidRPr="00BD2A24">
              <w:rPr>
                <w:rFonts w:ascii="Times New Roman" w:eastAsia="Times New Roman" w:hAnsi="Times New Roman" w:cs="Times New Roman"/>
                <w:sz w:val="24"/>
                <w:szCs w:val="24"/>
                <w:lang w:eastAsia="lv-LV"/>
              </w:rPr>
              <w:t>ikuma prasību ievērošanu.</w:t>
            </w:r>
          </w:p>
          <w:p w14:paraId="55FC7FE2" w14:textId="77777777" w:rsidR="00FE23F8" w:rsidRPr="00BD2A24" w:rsidRDefault="00FE23F8" w:rsidP="005446F1">
            <w:pPr>
              <w:spacing w:after="0" w:line="240" w:lineRule="auto"/>
              <w:jc w:val="both"/>
              <w:rPr>
                <w:rFonts w:ascii="Times New Roman" w:hAnsi="Times New Roman" w:cs="Times New Roman"/>
                <w:sz w:val="24"/>
                <w:szCs w:val="24"/>
              </w:rPr>
            </w:pPr>
          </w:p>
          <w:p w14:paraId="3C80E621" w14:textId="696F6070" w:rsidR="00232917" w:rsidRPr="00BD2A24" w:rsidRDefault="00FE23F8" w:rsidP="0023291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00232917" w:rsidRPr="00BD2A24">
              <w:rPr>
                <w:rFonts w:ascii="Times New Roman" w:eastAsia="Times New Roman" w:hAnsi="Times New Roman" w:cs="Times New Roman"/>
                <w:sz w:val="24"/>
                <w:szCs w:val="24"/>
                <w:lang w:eastAsia="lv-LV"/>
              </w:rPr>
              <w:t xml:space="preserve">rojekts kopumā un tajā ietvertās tiesību normas atbilst </w:t>
            </w:r>
            <w:r w:rsidR="00232917" w:rsidRPr="00BD2A24">
              <w:rPr>
                <w:rFonts w:ascii="Times New Roman" w:hAnsi="Times New Roman" w:cs="Times New Roman"/>
                <w:sz w:val="24"/>
                <w:szCs w:val="24"/>
              </w:rPr>
              <w:t>samērīguma principam, jo:</w:t>
            </w:r>
          </w:p>
          <w:p w14:paraId="38094958" w14:textId="1DD75F48" w:rsidR="00232917" w:rsidRPr="00BD2A24" w:rsidRDefault="00232917" w:rsidP="009F04B3">
            <w:pPr>
              <w:pStyle w:val="NApunkts2"/>
              <w:numPr>
                <w:ilvl w:val="0"/>
                <w:numId w:val="2"/>
              </w:numPr>
              <w:tabs>
                <w:tab w:val="left" w:pos="269"/>
                <w:tab w:val="left" w:pos="416"/>
              </w:tabs>
              <w:ind w:left="173" w:firstLine="0"/>
            </w:pPr>
            <w:r w:rsidRPr="00BD2A24">
              <w:t xml:space="preserve">pirmkārt, ar </w:t>
            </w:r>
            <w:r w:rsidR="00FE23F8">
              <w:t xml:space="preserve">noteikumu </w:t>
            </w:r>
            <w:r w:rsidRPr="00BD2A24">
              <w:t>projektu un tajā ietvertajām prasībām tiek sasniegts leģitīmais mērķis</w:t>
            </w:r>
            <w:r w:rsidR="00875573" w:rsidRPr="00BD2A24">
              <w:t xml:space="preserve"> (</w:t>
            </w:r>
            <w:r w:rsidR="00EB50BB" w:rsidRPr="00BD2A24">
              <w:t>citu personu</w:t>
            </w:r>
            <w:r w:rsidR="00773BD8">
              <w:t> </w:t>
            </w:r>
            <w:r w:rsidR="00EB50BB" w:rsidRPr="00BD2A24">
              <w:t>– finanšu tirgus dalībnieku</w:t>
            </w:r>
            <w:r w:rsidR="00773BD8">
              <w:t> </w:t>
            </w:r>
            <w:r w:rsidR="00EB50BB" w:rsidRPr="00BD2A24">
              <w:t>– interešu un sabiedrības labklājības aizsardzība</w:t>
            </w:r>
            <w:r w:rsidR="00F83BB4" w:rsidRPr="00BD2A24">
              <w:t>)</w:t>
            </w:r>
            <w:r w:rsidRPr="00BD2A24">
              <w:t>;</w:t>
            </w:r>
          </w:p>
          <w:p w14:paraId="574F8823" w14:textId="3C9C5E6F" w:rsidR="00232917" w:rsidRPr="00BD2A24" w:rsidRDefault="00232917" w:rsidP="009F04B3">
            <w:pPr>
              <w:pStyle w:val="NApunkts2"/>
              <w:numPr>
                <w:ilvl w:val="0"/>
                <w:numId w:val="2"/>
              </w:numPr>
              <w:tabs>
                <w:tab w:val="left" w:pos="269"/>
                <w:tab w:val="left" w:pos="416"/>
              </w:tabs>
              <w:ind w:left="173" w:firstLine="0"/>
            </w:pPr>
            <w:r w:rsidRPr="00BD2A24">
              <w:t>otrkārt, nepastāv tādi alternatīvi līdzekļi, kas sasniegtu leģitīmo mērķi tādā pašā kvalitātē</w:t>
            </w:r>
            <w:r w:rsidR="00F83BB4" w:rsidRPr="00BD2A24">
              <w:t xml:space="preserve"> (fondu pārvaldnieks, turētājbanka vai revidents Latvijas Bankai vai </w:t>
            </w:r>
            <w:r w:rsidR="00EE0651" w:rsidRPr="00BD2A24">
              <w:t>savstarpējās vienošanās norāda</w:t>
            </w:r>
            <w:r w:rsidR="00F83BB4" w:rsidRPr="00BD2A24">
              <w:t xml:space="preserve"> tikai to informāciju, ko paredz Direktīv</w:t>
            </w:r>
            <w:r w:rsidR="00FE23F8">
              <w:t>a</w:t>
            </w:r>
            <w:r w:rsidR="00095DF2">
              <w:t> </w:t>
            </w:r>
            <w:r w:rsidR="00F83BB4" w:rsidRPr="00BD2A24">
              <w:t>2010/44/ES)</w:t>
            </w:r>
            <w:r w:rsidRPr="00BD2A24">
              <w:t>;</w:t>
            </w:r>
          </w:p>
          <w:p w14:paraId="2C7E6265" w14:textId="3FEA1E21" w:rsidR="00925AED" w:rsidRPr="00BD2A24" w:rsidRDefault="00232917" w:rsidP="009F04B3">
            <w:pPr>
              <w:pStyle w:val="ListParagraph"/>
              <w:numPr>
                <w:ilvl w:val="0"/>
                <w:numId w:val="2"/>
              </w:numPr>
              <w:tabs>
                <w:tab w:val="left" w:pos="345"/>
              </w:tabs>
              <w:autoSpaceDE w:val="0"/>
              <w:autoSpaceDN w:val="0"/>
              <w:adjustRightInd w:val="0"/>
              <w:spacing w:after="0" w:line="240" w:lineRule="auto"/>
              <w:ind w:left="173" w:firstLine="0"/>
              <w:contextualSpacing w:val="0"/>
              <w:jc w:val="both"/>
              <w:rPr>
                <w:rFonts w:ascii="Times New Roman" w:hAnsi="Times New Roman" w:cs="Times New Roman"/>
                <w:sz w:val="24"/>
                <w:szCs w:val="24"/>
              </w:rPr>
            </w:pPr>
            <w:r w:rsidRPr="00BD2A24">
              <w:rPr>
                <w:rFonts w:ascii="Times New Roman" w:eastAsia="Times New Roman" w:hAnsi="Times New Roman" w:cs="Times New Roman"/>
                <w:sz w:val="24"/>
                <w:szCs w:val="24"/>
                <w:lang w:eastAsia="lv-LV"/>
              </w:rPr>
              <w:t xml:space="preserve">treškārt, labums, ko iegūs sabiedrība, būs lielāks par </w:t>
            </w:r>
            <w:r w:rsidR="00FE23F8">
              <w:rPr>
                <w:rFonts w:ascii="Times New Roman" w:eastAsia="Times New Roman" w:hAnsi="Times New Roman" w:cs="Times New Roman"/>
                <w:sz w:val="24"/>
                <w:szCs w:val="24"/>
                <w:lang w:eastAsia="lv-LV"/>
              </w:rPr>
              <w:t xml:space="preserve">noteikumu </w:t>
            </w:r>
            <w:r w:rsidRPr="00BD2A24">
              <w:rPr>
                <w:rFonts w:ascii="Times New Roman" w:hAnsi="Times New Roman" w:cs="Times New Roman"/>
                <w:sz w:val="24"/>
                <w:szCs w:val="24"/>
              </w:rPr>
              <w:t>projektā</w:t>
            </w:r>
            <w:r w:rsidRPr="00BD2A24">
              <w:rPr>
                <w:rFonts w:ascii="Times New Roman" w:eastAsia="Times New Roman" w:hAnsi="Times New Roman" w:cs="Times New Roman"/>
                <w:sz w:val="24"/>
                <w:szCs w:val="24"/>
                <w:lang w:eastAsia="lv-LV"/>
              </w:rPr>
              <w:t xml:space="preserve"> ietverto prasību radītajām</w:t>
            </w:r>
            <w:r w:rsidRPr="00BD2A24">
              <w:rPr>
                <w:rFonts w:ascii="Times New Roman" w:hAnsi="Times New Roman" w:cs="Times New Roman"/>
                <w:sz w:val="24"/>
                <w:szCs w:val="24"/>
              </w:rPr>
              <w:t xml:space="preserve"> negatīvajām sekām</w:t>
            </w:r>
            <w:r w:rsidR="00773BD8">
              <w:rPr>
                <w:rFonts w:ascii="Times New Roman" w:hAnsi="Times New Roman" w:cs="Times New Roman"/>
                <w:sz w:val="24"/>
                <w:szCs w:val="24"/>
              </w:rPr>
              <w:t> –</w:t>
            </w:r>
            <w:r w:rsidR="00F83BB4" w:rsidRPr="00BD2A24">
              <w:rPr>
                <w:rFonts w:ascii="Times New Roman" w:hAnsi="Times New Roman" w:cs="Times New Roman"/>
                <w:sz w:val="24"/>
                <w:szCs w:val="24"/>
              </w:rPr>
              <w:t xml:space="preserve"> fondu pārvaldnieka</w:t>
            </w:r>
            <w:r w:rsidR="00095DF2">
              <w:rPr>
                <w:rFonts w:ascii="Times New Roman" w:hAnsi="Times New Roman" w:cs="Times New Roman"/>
                <w:sz w:val="24"/>
                <w:szCs w:val="24"/>
              </w:rPr>
              <w:t xml:space="preserve"> un</w:t>
            </w:r>
            <w:r w:rsidR="00F83BB4" w:rsidRPr="00BD2A24">
              <w:rPr>
                <w:rFonts w:ascii="Times New Roman" w:hAnsi="Times New Roman" w:cs="Times New Roman"/>
                <w:sz w:val="24"/>
                <w:szCs w:val="24"/>
              </w:rPr>
              <w:t xml:space="preserve"> turētājbankas tiesību ierobežojumiem</w:t>
            </w:r>
            <w:r w:rsidRPr="00BD2A24">
              <w:rPr>
                <w:rFonts w:ascii="Times New Roman" w:hAnsi="Times New Roman" w:cs="Times New Roman"/>
                <w:sz w:val="24"/>
                <w:szCs w:val="24"/>
              </w:rPr>
              <w:t>.</w:t>
            </w:r>
          </w:p>
          <w:p w14:paraId="6E6744AD" w14:textId="77777777" w:rsidR="005446F1" w:rsidRPr="005446F1" w:rsidRDefault="005446F1" w:rsidP="005446F1">
            <w:pPr>
              <w:tabs>
                <w:tab w:val="left" w:pos="345"/>
              </w:tabs>
              <w:autoSpaceDE w:val="0"/>
              <w:autoSpaceDN w:val="0"/>
              <w:adjustRightInd w:val="0"/>
              <w:spacing w:after="0" w:line="240" w:lineRule="auto"/>
              <w:jc w:val="both"/>
              <w:rPr>
                <w:rFonts w:ascii="Times New Roman" w:hAnsi="Times New Roman" w:cs="Times New Roman"/>
                <w:sz w:val="24"/>
                <w:szCs w:val="24"/>
              </w:rPr>
            </w:pPr>
          </w:p>
          <w:p w14:paraId="0AC294D7" w14:textId="77777777" w:rsidR="005446F1" w:rsidRDefault="008C7FA5" w:rsidP="005446F1">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Ņemot vērā iepriekš minētos apstākļus, sabiedrības ieguvums būs lielāks par papildu slogu un resursu ieguldījumu, kas konkrētajam tirgus dalībniekam varētu rasties ar uzliktajiem pienākumiem, un tos atsver sagaidāmie ilgtermiņa ieguvumi stabilāka finanšu sektora veidā.</w:t>
            </w:r>
          </w:p>
          <w:p w14:paraId="086D32E7" w14:textId="65D4B679" w:rsidR="00E53DE9" w:rsidRPr="00BD2A24" w:rsidRDefault="00E53DE9" w:rsidP="008C7FA5">
            <w:pPr>
              <w:spacing w:after="0" w:line="240" w:lineRule="auto"/>
              <w:jc w:val="both"/>
              <w:rPr>
                <w:rFonts w:ascii="Times New Roman" w:eastAsia="Times New Roman" w:hAnsi="Times New Roman" w:cs="Times New Roman"/>
                <w:sz w:val="24"/>
                <w:szCs w:val="24"/>
                <w:lang w:eastAsia="lv-LV"/>
              </w:rPr>
            </w:pPr>
          </w:p>
        </w:tc>
      </w:tr>
      <w:tr w:rsidR="000B4E0A" w:rsidRPr="00BD2A24" w14:paraId="1F63006B" w14:textId="77777777" w:rsidTr="00E253DA">
        <w:trPr>
          <w:trHeight w:val="567"/>
        </w:trPr>
        <w:tc>
          <w:tcPr>
            <w:tcW w:w="1796" w:type="pct"/>
            <w:hideMark/>
          </w:tcPr>
          <w:p w14:paraId="0AF2E3A0"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lastRenderedPageBreak/>
              <w:t>Spēkā stāšanās</w:t>
            </w:r>
          </w:p>
          <w:p w14:paraId="23132C65"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2C692CE7" w14:textId="77777777" w:rsidR="00CA28AB" w:rsidRDefault="00925AED" w:rsidP="005446F1">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p w14:paraId="319AEC2B" w14:textId="59EC77CD" w:rsidR="00CA28AB" w:rsidRPr="00BD2A24" w:rsidRDefault="00CA28AB" w:rsidP="00925AED">
            <w:pPr>
              <w:spacing w:after="0" w:line="240" w:lineRule="auto"/>
              <w:jc w:val="both"/>
              <w:rPr>
                <w:rFonts w:ascii="Times New Roman" w:eastAsia="Times New Roman" w:hAnsi="Times New Roman" w:cs="Times New Roman"/>
                <w:sz w:val="24"/>
                <w:szCs w:val="24"/>
                <w:lang w:eastAsia="lv-LV"/>
              </w:rPr>
            </w:pPr>
          </w:p>
        </w:tc>
      </w:tr>
      <w:tr w:rsidR="000B4E0A" w:rsidRPr="00BD2A24" w14:paraId="62DECB7F" w14:textId="77777777" w:rsidTr="00E253DA">
        <w:trPr>
          <w:trHeight w:val="567"/>
        </w:trPr>
        <w:tc>
          <w:tcPr>
            <w:tcW w:w="1796" w:type="pct"/>
            <w:hideMark/>
          </w:tcPr>
          <w:p w14:paraId="3413D7B2"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Ietekme uz Latvijas Bankas budžetu</w:t>
            </w:r>
          </w:p>
          <w:p w14:paraId="7846A4CC"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492D1DD8" w14:textId="51A5F7FB" w:rsidR="00E53DE9" w:rsidRPr="00BD2A24" w:rsidRDefault="00925AED"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hAnsi="Times New Roman" w:cs="Times New Roman"/>
                <w:iCs/>
                <w:sz w:val="24"/>
                <w:szCs w:val="24"/>
              </w:rPr>
              <w:t>Nav ietekmes uz Latvijas Bankas budžetu.</w:t>
            </w:r>
          </w:p>
        </w:tc>
      </w:tr>
      <w:tr w:rsidR="000B4E0A" w:rsidRPr="00BD2A24" w14:paraId="36C95361" w14:textId="77777777" w:rsidTr="00E253DA">
        <w:trPr>
          <w:trHeight w:val="567"/>
        </w:trPr>
        <w:tc>
          <w:tcPr>
            <w:tcW w:w="1796" w:type="pct"/>
            <w:hideMark/>
          </w:tcPr>
          <w:p w14:paraId="1831B3C9"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 xml:space="preserve">Administratīvā sloga un izmaksu novērtējums </w:t>
            </w:r>
            <w:r w:rsidR="00C85C34" w:rsidRPr="00BD2A24">
              <w:rPr>
                <w:rFonts w:ascii="Times New Roman" w:eastAsia="Times New Roman" w:hAnsi="Times New Roman" w:cs="Times New Roman"/>
                <w:b/>
                <w:bCs/>
                <w:sz w:val="24"/>
                <w:szCs w:val="24"/>
                <w:lang w:eastAsia="lv-LV"/>
              </w:rPr>
              <w:t>(</w:t>
            </w:r>
            <w:r w:rsidRPr="00BD2A24">
              <w:rPr>
                <w:rFonts w:ascii="Times New Roman" w:eastAsia="Times New Roman" w:hAnsi="Times New Roman" w:cs="Times New Roman"/>
                <w:b/>
                <w:bCs/>
                <w:sz w:val="24"/>
                <w:szCs w:val="24"/>
                <w:lang w:eastAsia="lv-LV"/>
              </w:rPr>
              <w:t>tirgus dalībniekiem</w:t>
            </w:r>
            <w:r w:rsidR="00C85C34" w:rsidRPr="00BD2A24">
              <w:rPr>
                <w:rFonts w:ascii="Times New Roman" w:eastAsia="Times New Roman" w:hAnsi="Times New Roman" w:cs="Times New Roman"/>
                <w:b/>
                <w:bCs/>
                <w:sz w:val="24"/>
                <w:szCs w:val="24"/>
                <w:lang w:eastAsia="lv-LV"/>
              </w:rPr>
              <w:t>)</w:t>
            </w:r>
          </w:p>
          <w:p w14:paraId="45CAE808"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6C8A004A" w14:textId="735C859A" w:rsidR="00A42788" w:rsidRPr="00095DF2" w:rsidRDefault="00925AED" w:rsidP="00773BD8">
            <w:pPr>
              <w:spacing w:after="0" w:line="240" w:lineRule="auto"/>
              <w:jc w:val="both"/>
              <w:rPr>
                <w:rStyle w:val="cf01"/>
                <w:rFonts w:ascii="Times New Roman" w:hAnsi="Times New Roman" w:cs="Times New Roman"/>
                <w:sz w:val="24"/>
                <w:szCs w:val="24"/>
              </w:rPr>
            </w:pPr>
            <w:r w:rsidRPr="00095DF2">
              <w:rPr>
                <w:rStyle w:val="cf01"/>
                <w:rFonts w:ascii="Times New Roman" w:hAnsi="Times New Roman" w:cs="Times New Roman"/>
                <w:sz w:val="24"/>
                <w:szCs w:val="24"/>
              </w:rPr>
              <w:t>Salīdzin</w:t>
            </w:r>
            <w:r w:rsidR="00095DF2">
              <w:rPr>
                <w:rStyle w:val="cf01"/>
                <w:rFonts w:ascii="Times New Roman" w:hAnsi="Times New Roman" w:cs="Times New Roman"/>
                <w:sz w:val="24"/>
                <w:szCs w:val="24"/>
              </w:rPr>
              <w:t>ājumā</w:t>
            </w:r>
            <w:r w:rsidRPr="00095DF2">
              <w:rPr>
                <w:rStyle w:val="cf01"/>
                <w:rFonts w:ascii="Times New Roman" w:hAnsi="Times New Roman" w:cs="Times New Roman"/>
                <w:sz w:val="24"/>
                <w:szCs w:val="24"/>
              </w:rPr>
              <w:t xml:space="preserve"> ar </w:t>
            </w:r>
            <w:r w:rsidR="00390B84">
              <w:rPr>
                <w:rStyle w:val="cf01"/>
                <w:rFonts w:ascii="Times New Roman" w:hAnsi="Times New Roman" w:cs="Times New Roman"/>
                <w:sz w:val="24"/>
                <w:szCs w:val="24"/>
              </w:rPr>
              <w:t xml:space="preserve">agrāk </w:t>
            </w:r>
            <w:r w:rsidRPr="00095DF2">
              <w:rPr>
                <w:rStyle w:val="cf01"/>
                <w:rFonts w:ascii="Times New Roman" w:hAnsi="Times New Roman" w:cs="Times New Roman"/>
                <w:sz w:val="24"/>
                <w:szCs w:val="24"/>
              </w:rPr>
              <w:t xml:space="preserve">spēkā </w:t>
            </w:r>
            <w:r w:rsidR="00390B84">
              <w:rPr>
                <w:rStyle w:val="cf01"/>
                <w:rFonts w:ascii="Times New Roman" w:hAnsi="Times New Roman" w:cs="Times New Roman"/>
                <w:sz w:val="24"/>
                <w:szCs w:val="24"/>
              </w:rPr>
              <w:t>bijuša</w:t>
            </w:r>
            <w:r w:rsidRPr="00095DF2">
              <w:rPr>
                <w:rStyle w:val="cf01"/>
                <w:rFonts w:ascii="Times New Roman" w:hAnsi="Times New Roman" w:cs="Times New Roman"/>
                <w:sz w:val="24"/>
                <w:szCs w:val="24"/>
              </w:rPr>
              <w:t>jiem Noteikumiem Nr.</w:t>
            </w:r>
            <w:r w:rsidR="00773BD8" w:rsidRPr="00095DF2">
              <w:rPr>
                <w:rStyle w:val="cf01"/>
                <w:rFonts w:ascii="Times New Roman" w:hAnsi="Times New Roman" w:cs="Times New Roman"/>
                <w:sz w:val="24"/>
                <w:szCs w:val="24"/>
              </w:rPr>
              <w:t> </w:t>
            </w:r>
            <w:r w:rsidRPr="00095DF2">
              <w:rPr>
                <w:rStyle w:val="cf01"/>
                <w:rFonts w:ascii="Times New Roman" w:hAnsi="Times New Roman" w:cs="Times New Roman"/>
                <w:sz w:val="24"/>
                <w:szCs w:val="24"/>
              </w:rPr>
              <w:t>152</w:t>
            </w:r>
            <w:r w:rsidR="003159F2">
              <w:rPr>
                <w:rStyle w:val="cf01"/>
                <w:rFonts w:ascii="Times New Roman" w:hAnsi="Times New Roman" w:cs="Times New Roman"/>
                <w:sz w:val="24"/>
                <w:szCs w:val="24"/>
              </w:rPr>
              <w:t xml:space="preserve"> un spēkā esošajiem Noteikumiem Nr.</w:t>
            </w:r>
            <w:r w:rsidR="004666BE">
              <w:rPr>
                <w:rStyle w:val="cf01"/>
                <w:rFonts w:ascii="Times New Roman" w:hAnsi="Times New Roman" w:cs="Times New Roman"/>
                <w:sz w:val="24"/>
                <w:szCs w:val="24"/>
              </w:rPr>
              <w:t> </w:t>
            </w:r>
            <w:r w:rsidR="003159F2">
              <w:rPr>
                <w:rStyle w:val="cf01"/>
                <w:rFonts w:ascii="Times New Roman" w:hAnsi="Times New Roman" w:cs="Times New Roman"/>
                <w:sz w:val="24"/>
                <w:szCs w:val="24"/>
              </w:rPr>
              <w:t>367</w:t>
            </w:r>
            <w:r w:rsidR="00F934C4" w:rsidRPr="00095DF2">
              <w:rPr>
                <w:rStyle w:val="cf01"/>
                <w:rFonts w:ascii="Times New Roman" w:hAnsi="Times New Roman" w:cs="Times New Roman"/>
                <w:sz w:val="24"/>
                <w:szCs w:val="24"/>
              </w:rPr>
              <w:t xml:space="preserve"> noteikumu</w:t>
            </w:r>
            <w:r w:rsidR="00D856CC" w:rsidRPr="00095DF2">
              <w:rPr>
                <w:rStyle w:val="cf01"/>
                <w:rFonts w:ascii="Times New Roman" w:hAnsi="Times New Roman" w:cs="Times New Roman"/>
                <w:sz w:val="24"/>
                <w:szCs w:val="24"/>
              </w:rPr>
              <w:t xml:space="preserve"> </w:t>
            </w:r>
            <w:r w:rsidRPr="00095DF2">
              <w:rPr>
                <w:rStyle w:val="cf01"/>
                <w:rFonts w:ascii="Times New Roman" w:hAnsi="Times New Roman" w:cs="Times New Roman"/>
                <w:sz w:val="24"/>
                <w:szCs w:val="24"/>
              </w:rPr>
              <w:t>projekts neparedz jaunas prasības vai izmaiņas</w:t>
            </w:r>
            <w:r w:rsidRPr="00095DF2">
              <w:rPr>
                <w:rFonts w:ascii="Times New Roman" w:hAnsi="Times New Roman" w:cs="Times New Roman"/>
                <w:sz w:val="24"/>
                <w:szCs w:val="24"/>
              </w:rPr>
              <w:t xml:space="preserve"> finanšu tirgus dalībniekiem</w:t>
            </w:r>
            <w:r w:rsidRPr="00095DF2">
              <w:rPr>
                <w:rStyle w:val="cf01"/>
                <w:rFonts w:ascii="Times New Roman" w:hAnsi="Times New Roman" w:cs="Times New Roman"/>
                <w:sz w:val="24"/>
                <w:szCs w:val="24"/>
              </w:rPr>
              <w:t>.</w:t>
            </w:r>
          </w:p>
          <w:p w14:paraId="143455B9" w14:textId="0539F958" w:rsidR="00A42788" w:rsidRPr="00BD2A24" w:rsidRDefault="00A42788" w:rsidP="000B4E0A">
            <w:pPr>
              <w:spacing w:after="0" w:line="240" w:lineRule="auto"/>
              <w:rPr>
                <w:rFonts w:ascii="Times New Roman" w:eastAsia="Times New Roman" w:hAnsi="Times New Roman" w:cs="Times New Roman"/>
                <w:sz w:val="24"/>
                <w:szCs w:val="24"/>
                <w:lang w:eastAsia="lv-LV"/>
              </w:rPr>
            </w:pPr>
          </w:p>
        </w:tc>
      </w:tr>
      <w:tr w:rsidR="000B4E0A" w:rsidRPr="00BD2A24" w14:paraId="460E139D" w14:textId="77777777" w:rsidTr="009F04B3">
        <w:trPr>
          <w:trHeight w:val="1078"/>
        </w:trPr>
        <w:tc>
          <w:tcPr>
            <w:tcW w:w="1796" w:type="pct"/>
            <w:hideMark/>
          </w:tcPr>
          <w:p w14:paraId="64907A6A"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Saistītie dokumenti</w:t>
            </w:r>
          </w:p>
          <w:p w14:paraId="15B52DF8"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0BB1D16C" w14:textId="1C1F4C29" w:rsidR="00925AED" w:rsidRPr="00BD2A24" w:rsidRDefault="00925AED" w:rsidP="00925AED">
            <w:pPr>
              <w:pStyle w:val="NApunkts2"/>
              <w:numPr>
                <w:ilvl w:val="0"/>
                <w:numId w:val="0"/>
              </w:numPr>
              <w:tabs>
                <w:tab w:val="left" w:pos="487"/>
              </w:tabs>
            </w:pPr>
            <w:r w:rsidRPr="00BD2A24">
              <w:t xml:space="preserve">Ar </w:t>
            </w:r>
            <w:r w:rsidR="00FE23F8">
              <w:t>noteikumu</w:t>
            </w:r>
            <w:r w:rsidRPr="00BD2A24">
              <w:t xml:space="preserve"> projektu saistītie dokumenti:</w:t>
            </w:r>
          </w:p>
          <w:p w14:paraId="3FBBC5D2" w14:textId="6892734F" w:rsidR="00925AED" w:rsidRPr="00BD2A24" w:rsidRDefault="00EC6495" w:rsidP="008C1C79">
            <w:pPr>
              <w:pStyle w:val="NApunkts2"/>
              <w:numPr>
                <w:ilvl w:val="0"/>
                <w:numId w:val="3"/>
              </w:numPr>
              <w:tabs>
                <w:tab w:val="left" w:pos="315"/>
              </w:tabs>
              <w:ind w:left="0" w:firstLine="0"/>
            </w:pPr>
            <w:r w:rsidRPr="00BD2A24">
              <w:t>L</w:t>
            </w:r>
            <w:r w:rsidR="00925AED" w:rsidRPr="00BD2A24">
              <w:t>ikums;</w:t>
            </w:r>
          </w:p>
          <w:p w14:paraId="51C4D36C" w14:textId="3A8FFEBD" w:rsidR="00925AED" w:rsidRPr="00BD2A24" w:rsidRDefault="00925AED" w:rsidP="008C1C79">
            <w:pPr>
              <w:pStyle w:val="NApunkts2"/>
              <w:numPr>
                <w:ilvl w:val="0"/>
                <w:numId w:val="3"/>
              </w:numPr>
              <w:tabs>
                <w:tab w:val="left" w:pos="315"/>
              </w:tabs>
              <w:ind w:left="0" w:firstLine="0"/>
            </w:pPr>
            <w:r w:rsidRPr="00BD2A24">
              <w:t>Noteikumi Nr. </w:t>
            </w:r>
            <w:r w:rsidR="009840E0">
              <w:t>367</w:t>
            </w:r>
            <w:r w:rsidRPr="00BD2A24">
              <w:t>;</w:t>
            </w:r>
          </w:p>
          <w:p w14:paraId="20AF5251" w14:textId="43817728" w:rsidR="00E53DE9" w:rsidRDefault="00925AED" w:rsidP="008C1C79">
            <w:pPr>
              <w:pStyle w:val="NApunkts2"/>
              <w:numPr>
                <w:ilvl w:val="0"/>
                <w:numId w:val="3"/>
              </w:numPr>
              <w:tabs>
                <w:tab w:val="left" w:pos="315"/>
              </w:tabs>
              <w:ind w:left="0" w:firstLine="0"/>
            </w:pPr>
            <w:r w:rsidRPr="00BD2A24">
              <w:t>Direktīva</w:t>
            </w:r>
            <w:r w:rsidR="00773BD8">
              <w:t> </w:t>
            </w:r>
            <w:r w:rsidRPr="00BD2A24">
              <w:t>2010/44</w:t>
            </w:r>
            <w:r w:rsidR="005D6788" w:rsidRPr="00BD2A24">
              <w:t>/ES</w:t>
            </w:r>
            <w:r w:rsidRPr="00BD2A24">
              <w:t>.</w:t>
            </w:r>
          </w:p>
          <w:p w14:paraId="62B1476D" w14:textId="00F5A4A7" w:rsidR="00E53DE9" w:rsidRPr="00BD2A24" w:rsidRDefault="00E53DE9" w:rsidP="009F04B3">
            <w:pPr>
              <w:pStyle w:val="NApunkts2"/>
              <w:numPr>
                <w:ilvl w:val="0"/>
                <w:numId w:val="0"/>
              </w:numPr>
              <w:tabs>
                <w:tab w:val="left" w:pos="487"/>
              </w:tabs>
            </w:pPr>
          </w:p>
        </w:tc>
      </w:tr>
      <w:tr w:rsidR="000B4E0A" w:rsidRPr="00BD2A24" w14:paraId="2A9B801F" w14:textId="77777777" w:rsidTr="00E253DA">
        <w:trPr>
          <w:trHeight w:val="567"/>
        </w:trPr>
        <w:tc>
          <w:tcPr>
            <w:tcW w:w="1796" w:type="pct"/>
            <w:hideMark/>
          </w:tcPr>
          <w:p w14:paraId="251340E8"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Saskaņošana ar Eiropas Centrālo banku</w:t>
            </w:r>
          </w:p>
          <w:p w14:paraId="6EADDA12"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tcPr>
          <w:p w14:paraId="1E93E3EB" w14:textId="52762D90" w:rsidR="00A42788" w:rsidRPr="00BD2A24" w:rsidRDefault="00FB5CAA" w:rsidP="0009616F">
            <w:pPr>
              <w:spacing w:after="0" w:line="240" w:lineRule="auto"/>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Nav nepieciešam</w:t>
            </w:r>
            <w:r w:rsidR="00054AAD" w:rsidRPr="00BD2A24">
              <w:rPr>
                <w:rFonts w:ascii="Times New Roman" w:eastAsia="Times New Roman" w:hAnsi="Times New Roman" w:cs="Times New Roman"/>
                <w:sz w:val="24"/>
                <w:szCs w:val="24"/>
                <w:lang w:eastAsia="lv-LV"/>
              </w:rPr>
              <w:t>a</w:t>
            </w:r>
            <w:r w:rsidR="00665F86" w:rsidRPr="00BD2A24">
              <w:rPr>
                <w:rFonts w:ascii="Times New Roman" w:eastAsia="Times New Roman" w:hAnsi="Times New Roman" w:cs="Times New Roman"/>
                <w:sz w:val="24"/>
                <w:szCs w:val="24"/>
                <w:lang w:eastAsia="lv-LV"/>
              </w:rPr>
              <w:t>.</w:t>
            </w:r>
          </w:p>
        </w:tc>
      </w:tr>
      <w:tr w:rsidR="00E13764" w:rsidRPr="00BD2A24" w14:paraId="630160EE" w14:textId="77777777" w:rsidTr="00E253DA">
        <w:trPr>
          <w:trHeight w:val="567"/>
        </w:trPr>
        <w:tc>
          <w:tcPr>
            <w:tcW w:w="1796" w:type="pct"/>
            <w:hideMark/>
          </w:tcPr>
          <w:p w14:paraId="2A8EDF42"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lastRenderedPageBreak/>
              <w:t>Saskaņošana ar citām publiskām un privātām personām</w:t>
            </w:r>
          </w:p>
          <w:p w14:paraId="4617B115"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p>
        </w:tc>
        <w:tc>
          <w:tcPr>
            <w:tcW w:w="3204" w:type="pct"/>
          </w:tcPr>
          <w:p w14:paraId="3AA289A1" w14:textId="7B3C0A38" w:rsidR="00370452" w:rsidRDefault="00370452" w:rsidP="004666BE">
            <w:pPr>
              <w:spacing w:after="0" w:line="24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Noteikumu projekts </w:t>
            </w:r>
            <w:r w:rsidR="003A2559">
              <w:rPr>
                <w:rFonts w:ascii="Times New Roman" w:hAnsi="Times New Roman" w:cs="Times New Roman"/>
                <w:sz w:val="24"/>
                <w:szCs w:val="24"/>
                <w:lang w:eastAsia="lv-LV"/>
              </w:rPr>
              <w:t xml:space="preserve">2025. gada 14. augustā tika </w:t>
            </w:r>
            <w:r>
              <w:rPr>
                <w:rFonts w:ascii="Times New Roman" w:hAnsi="Times New Roman" w:cs="Times New Roman"/>
                <w:sz w:val="24"/>
                <w:szCs w:val="24"/>
                <w:lang w:eastAsia="lv-LV"/>
              </w:rPr>
              <w:t xml:space="preserve">publicēts Latvijas Bankas tīmekļvietnes </w:t>
            </w:r>
            <w:hyperlink r:id="rId11" w:history="1">
              <w:r>
                <w:rPr>
                  <w:rStyle w:val="Hyperlink"/>
                  <w:rFonts w:ascii="Times New Roman" w:hAnsi="Times New Roman" w:cs="Times New Roman"/>
                  <w:sz w:val="24"/>
                  <w:szCs w:val="24"/>
                  <w:lang w:eastAsia="lv-LV"/>
                </w:rPr>
                <w:t>www.bank.lv</w:t>
              </w:r>
            </w:hyperlink>
            <w:r>
              <w:rPr>
                <w:rFonts w:ascii="Times New Roman" w:hAnsi="Times New Roman" w:cs="Times New Roman"/>
                <w:sz w:val="24"/>
                <w:szCs w:val="24"/>
                <w:lang w:eastAsia="lv-LV"/>
              </w:rPr>
              <w:t xml:space="preserve"> sadaļas "Tiesību akti" apakšsadaļā "Sabiedrības līdzdalība", </w:t>
            </w:r>
            <w:r w:rsidR="00A87F14">
              <w:rPr>
                <w:rFonts w:ascii="Times New Roman" w:hAnsi="Times New Roman" w:cs="Times New Roman"/>
                <w:sz w:val="24"/>
                <w:szCs w:val="24"/>
                <w:lang w:eastAsia="lv-LV"/>
              </w:rPr>
              <w:t>un par to</w:t>
            </w:r>
            <w:r>
              <w:rPr>
                <w:rFonts w:ascii="Times New Roman" w:hAnsi="Times New Roman" w:cs="Times New Roman"/>
                <w:sz w:val="24"/>
                <w:szCs w:val="24"/>
                <w:lang w:eastAsia="lv-LV"/>
              </w:rPr>
              <w:t xml:space="preserve"> </w:t>
            </w:r>
            <w:r w:rsidR="0029526B">
              <w:rPr>
                <w:rFonts w:ascii="Times New Roman" w:eastAsia="Times New Roman" w:hAnsi="Times New Roman" w:cs="Times New Roman"/>
                <w:sz w:val="24"/>
                <w:szCs w:val="24"/>
                <w:lang w:eastAsia="lv-LV"/>
              </w:rPr>
              <w:t>līdz 2025. gada 28. augustam</w:t>
            </w:r>
            <w:r w:rsidR="0029526B">
              <w:rPr>
                <w:rFonts w:ascii="Times New Roman" w:hAnsi="Times New Roman" w:cs="Times New Roman"/>
                <w:sz w:val="24"/>
                <w:szCs w:val="24"/>
                <w:lang w:eastAsia="lv-LV"/>
              </w:rPr>
              <w:t xml:space="preserve"> </w:t>
            </w:r>
            <w:r w:rsidR="00A87F14" w:rsidRPr="00327536">
              <w:rPr>
                <w:rFonts w:ascii="Times New Roman" w:eastAsia="Times New Roman" w:hAnsi="Times New Roman" w:cs="Times New Roman"/>
                <w:sz w:val="24"/>
                <w:szCs w:val="24"/>
                <w:lang w:eastAsia="lv-LV"/>
              </w:rPr>
              <w:t>b</w:t>
            </w:r>
            <w:r w:rsidR="003A2559">
              <w:rPr>
                <w:rFonts w:ascii="Times New Roman" w:eastAsia="Times New Roman" w:hAnsi="Times New Roman" w:cs="Times New Roman"/>
                <w:sz w:val="24"/>
                <w:szCs w:val="24"/>
                <w:lang w:eastAsia="lv-LV"/>
              </w:rPr>
              <w:t>ija</w:t>
            </w:r>
            <w:r w:rsidR="00A87F14" w:rsidRPr="00327536">
              <w:rPr>
                <w:rFonts w:ascii="Times New Roman" w:eastAsia="Times New Roman" w:hAnsi="Times New Roman" w:cs="Times New Roman"/>
                <w:sz w:val="24"/>
                <w:szCs w:val="24"/>
                <w:lang w:eastAsia="lv-LV"/>
              </w:rPr>
              <w:t xml:space="preserve"> iespējama sabiedrības līdzdalība</w:t>
            </w:r>
            <w:r>
              <w:rPr>
                <w:rFonts w:ascii="Times New Roman" w:hAnsi="Times New Roman" w:cs="Times New Roman"/>
                <w:sz w:val="24"/>
                <w:szCs w:val="24"/>
                <w:lang w:eastAsia="lv-LV"/>
              </w:rPr>
              <w:t>.</w:t>
            </w:r>
          </w:p>
          <w:p w14:paraId="0DB71EB6" w14:textId="77777777" w:rsidR="004666BE" w:rsidRPr="00370452" w:rsidRDefault="004666BE" w:rsidP="000A4EE3">
            <w:pPr>
              <w:spacing w:after="0" w:line="240" w:lineRule="auto"/>
              <w:jc w:val="both"/>
              <w:rPr>
                <w:rFonts w:ascii="Times New Roman" w:hAnsi="Times New Roman" w:cs="Times New Roman"/>
                <w:sz w:val="24"/>
                <w:szCs w:val="24"/>
                <w:lang w:eastAsia="lv-LV"/>
              </w:rPr>
            </w:pPr>
          </w:p>
          <w:p w14:paraId="375DA42E" w14:textId="0E232501" w:rsidR="00FE23F8" w:rsidRPr="00BD2A24" w:rsidRDefault="00AE002D" w:rsidP="004666BE">
            <w:pPr>
              <w:spacing w:after="0" w:line="240" w:lineRule="auto"/>
              <w:jc w:val="both"/>
              <w:rPr>
                <w:rFonts w:ascii="Times New Roman" w:hAnsi="Times New Roman" w:cs="Times New Roman"/>
                <w:sz w:val="24"/>
                <w:szCs w:val="24"/>
                <w:lang w:eastAsia="lv-LV"/>
              </w:rPr>
            </w:pPr>
            <w:r w:rsidRPr="00BD2A24">
              <w:rPr>
                <w:rFonts w:ascii="Times New Roman" w:hAnsi="Times New Roman" w:cs="Times New Roman"/>
                <w:sz w:val="24"/>
                <w:szCs w:val="24"/>
                <w:lang w:eastAsia="lv-LV"/>
              </w:rPr>
              <w:t xml:space="preserve">Vienlaikus par </w:t>
            </w:r>
            <w:r w:rsidR="00FE23F8">
              <w:rPr>
                <w:rFonts w:ascii="Times New Roman" w:hAnsi="Times New Roman" w:cs="Times New Roman"/>
                <w:sz w:val="24"/>
                <w:szCs w:val="24"/>
                <w:lang w:eastAsia="lv-LV"/>
              </w:rPr>
              <w:t xml:space="preserve">noteikumu </w:t>
            </w:r>
            <w:r w:rsidRPr="00BD2A24">
              <w:rPr>
                <w:rFonts w:ascii="Times New Roman" w:hAnsi="Times New Roman" w:cs="Times New Roman"/>
                <w:sz w:val="24"/>
                <w:szCs w:val="24"/>
                <w:lang w:eastAsia="lv-LV"/>
              </w:rPr>
              <w:t>projektu un notiekošo sabiedrības līdzdalību tik</w:t>
            </w:r>
            <w:r w:rsidR="003159F2">
              <w:rPr>
                <w:rFonts w:ascii="Times New Roman" w:hAnsi="Times New Roman" w:cs="Times New Roman"/>
                <w:sz w:val="24"/>
                <w:szCs w:val="24"/>
                <w:lang w:eastAsia="lv-LV"/>
              </w:rPr>
              <w:t>a</w:t>
            </w:r>
            <w:r w:rsidRPr="00BD2A24">
              <w:rPr>
                <w:rFonts w:ascii="Times New Roman" w:hAnsi="Times New Roman" w:cs="Times New Roman"/>
                <w:sz w:val="24"/>
                <w:szCs w:val="24"/>
                <w:lang w:eastAsia="lv-LV"/>
              </w:rPr>
              <w:t xml:space="preserve"> informēta </w:t>
            </w:r>
            <w:r w:rsidR="00FE23F8">
              <w:rPr>
                <w:rFonts w:ascii="Times New Roman" w:hAnsi="Times New Roman" w:cs="Times New Roman"/>
                <w:sz w:val="24"/>
                <w:szCs w:val="24"/>
                <w:lang w:eastAsia="lv-LV"/>
              </w:rPr>
              <w:t xml:space="preserve">Latvijas </w:t>
            </w:r>
            <w:r w:rsidRPr="00BD2A24">
              <w:rPr>
                <w:rFonts w:ascii="Times New Roman" w:hAnsi="Times New Roman" w:cs="Times New Roman"/>
                <w:sz w:val="24"/>
                <w:szCs w:val="24"/>
                <w:lang w:eastAsia="lv-LV"/>
              </w:rPr>
              <w:t>Finanšu nozares asociācija</w:t>
            </w:r>
            <w:r w:rsidR="00FE23F8">
              <w:rPr>
                <w:rFonts w:ascii="Times New Roman" w:hAnsi="Times New Roman" w:cs="Times New Roman"/>
                <w:sz w:val="24"/>
                <w:szCs w:val="24"/>
                <w:lang w:eastAsia="lv-LV"/>
              </w:rPr>
              <w:t>,</w:t>
            </w:r>
            <w:r w:rsidR="00E4608B">
              <w:rPr>
                <w:rFonts w:ascii="Times New Roman" w:hAnsi="Times New Roman" w:cs="Times New Roman"/>
                <w:sz w:val="24"/>
                <w:szCs w:val="24"/>
                <w:lang w:eastAsia="lv-LV"/>
              </w:rPr>
              <w:t xml:space="preserve"> </w:t>
            </w:r>
            <w:r w:rsidR="003C7506" w:rsidRPr="00BD1FEA">
              <w:rPr>
                <w:rFonts w:ascii="Times New Roman" w:eastAsia="Times New Roman" w:hAnsi="Times New Roman" w:cs="Times New Roman"/>
                <w:sz w:val="24"/>
                <w:szCs w:val="24"/>
                <w:lang w:eastAsia="lv-LV"/>
              </w:rPr>
              <w:t>Latvijas Zvērinātu revidentu asociācija</w:t>
            </w:r>
            <w:r w:rsidR="003C7506">
              <w:rPr>
                <w:rFonts w:ascii="Times New Roman" w:eastAsia="Times New Roman" w:hAnsi="Times New Roman" w:cs="Times New Roman"/>
                <w:sz w:val="24"/>
                <w:szCs w:val="24"/>
                <w:lang w:eastAsia="lv-LV"/>
              </w:rPr>
              <w:t xml:space="preserve">, </w:t>
            </w:r>
            <w:r w:rsidR="00E4608B">
              <w:rPr>
                <w:rFonts w:ascii="Times New Roman" w:hAnsi="Times New Roman" w:cs="Times New Roman"/>
                <w:sz w:val="24"/>
                <w:szCs w:val="24"/>
                <w:lang w:eastAsia="lv-LV"/>
              </w:rPr>
              <w:t>kā arī ieguldījumu pārvaldes sabiedrīb</w:t>
            </w:r>
            <w:r w:rsidR="00B43D47">
              <w:rPr>
                <w:rFonts w:ascii="Times New Roman" w:hAnsi="Times New Roman" w:cs="Times New Roman"/>
                <w:sz w:val="24"/>
                <w:szCs w:val="24"/>
                <w:lang w:eastAsia="lv-LV"/>
              </w:rPr>
              <w:t>as</w:t>
            </w:r>
            <w:r w:rsidR="00E4608B">
              <w:rPr>
                <w:rFonts w:ascii="Times New Roman" w:hAnsi="Times New Roman" w:cs="Times New Roman"/>
                <w:sz w:val="24"/>
                <w:szCs w:val="24"/>
                <w:lang w:eastAsia="lv-LV"/>
              </w:rPr>
              <w:t>, k</w:t>
            </w:r>
            <w:r w:rsidR="00795401">
              <w:rPr>
                <w:rFonts w:ascii="Times New Roman" w:hAnsi="Times New Roman" w:cs="Times New Roman"/>
                <w:sz w:val="24"/>
                <w:szCs w:val="24"/>
                <w:lang w:eastAsia="lv-LV"/>
              </w:rPr>
              <w:t>ur</w:t>
            </w:r>
            <w:r w:rsidR="00E4608B">
              <w:rPr>
                <w:rFonts w:ascii="Times New Roman" w:hAnsi="Times New Roman" w:cs="Times New Roman"/>
                <w:sz w:val="24"/>
                <w:szCs w:val="24"/>
                <w:lang w:eastAsia="lv-LV"/>
              </w:rPr>
              <w:t xml:space="preserve">as nav </w:t>
            </w:r>
            <w:r w:rsidR="00B43D47">
              <w:rPr>
                <w:rFonts w:ascii="Times New Roman" w:hAnsi="Times New Roman" w:cs="Times New Roman"/>
                <w:sz w:val="24"/>
                <w:szCs w:val="24"/>
                <w:lang w:eastAsia="lv-LV"/>
              </w:rPr>
              <w:t xml:space="preserve">Latvijas </w:t>
            </w:r>
            <w:r w:rsidR="00B43D47" w:rsidRPr="00BD2A24">
              <w:rPr>
                <w:rFonts w:ascii="Times New Roman" w:hAnsi="Times New Roman" w:cs="Times New Roman"/>
                <w:sz w:val="24"/>
                <w:szCs w:val="24"/>
                <w:lang w:eastAsia="lv-LV"/>
              </w:rPr>
              <w:t>Finanšu nozares asociācija</w:t>
            </w:r>
            <w:r w:rsidR="00B43D47">
              <w:rPr>
                <w:rFonts w:ascii="Times New Roman" w:hAnsi="Times New Roman" w:cs="Times New Roman"/>
                <w:sz w:val="24"/>
                <w:szCs w:val="24"/>
                <w:lang w:eastAsia="lv-LV"/>
              </w:rPr>
              <w:t>s</w:t>
            </w:r>
            <w:r w:rsidR="00B43D47" w:rsidDel="00B43D47">
              <w:rPr>
                <w:rFonts w:ascii="Times New Roman" w:hAnsi="Times New Roman" w:cs="Times New Roman"/>
                <w:sz w:val="24"/>
                <w:szCs w:val="24"/>
                <w:lang w:eastAsia="lv-LV"/>
              </w:rPr>
              <w:t xml:space="preserve"> </w:t>
            </w:r>
            <w:r w:rsidR="00E4608B">
              <w:rPr>
                <w:rFonts w:ascii="Times New Roman" w:hAnsi="Times New Roman" w:cs="Times New Roman"/>
                <w:sz w:val="24"/>
                <w:szCs w:val="24"/>
                <w:lang w:eastAsia="lv-LV"/>
              </w:rPr>
              <w:t>biedr</w:t>
            </w:r>
            <w:r w:rsidR="00B43D47">
              <w:rPr>
                <w:rFonts w:ascii="Times New Roman" w:hAnsi="Times New Roman" w:cs="Times New Roman"/>
                <w:sz w:val="24"/>
                <w:szCs w:val="24"/>
                <w:lang w:eastAsia="lv-LV"/>
              </w:rPr>
              <w:t>es</w:t>
            </w:r>
            <w:r w:rsidRPr="00BD2A24">
              <w:rPr>
                <w:rFonts w:ascii="Times New Roman" w:hAnsi="Times New Roman" w:cs="Times New Roman"/>
                <w:sz w:val="24"/>
                <w:szCs w:val="24"/>
                <w:lang w:eastAsia="lv-LV"/>
              </w:rPr>
              <w:t>.</w:t>
            </w:r>
          </w:p>
          <w:p w14:paraId="15F13EC2" w14:textId="77EFCA1A" w:rsidR="00E13764" w:rsidRPr="00BD2A24" w:rsidRDefault="00E13764" w:rsidP="003A2559">
            <w:pPr>
              <w:spacing w:after="0" w:line="240" w:lineRule="auto"/>
              <w:jc w:val="both"/>
              <w:rPr>
                <w:rFonts w:ascii="Times New Roman" w:eastAsia="Times New Roman" w:hAnsi="Times New Roman" w:cs="Times New Roman"/>
                <w:sz w:val="24"/>
                <w:szCs w:val="24"/>
                <w:lang w:eastAsia="lv-LV"/>
              </w:rPr>
            </w:pPr>
          </w:p>
        </w:tc>
      </w:tr>
      <w:tr w:rsidR="00E13764" w:rsidRPr="000B4E0A" w14:paraId="125E0C39" w14:textId="77777777" w:rsidTr="009F04B3">
        <w:trPr>
          <w:trHeight w:val="305"/>
        </w:trPr>
        <w:tc>
          <w:tcPr>
            <w:tcW w:w="1796" w:type="pct"/>
            <w:hideMark/>
          </w:tcPr>
          <w:p w14:paraId="46F07D1A"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Saskaņošanas rezultāti</w:t>
            </w:r>
          </w:p>
          <w:p w14:paraId="12FC24D7"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p>
        </w:tc>
        <w:tc>
          <w:tcPr>
            <w:tcW w:w="3204" w:type="pct"/>
          </w:tcPr>
          <w:p w14:paraId="625D695A" w14:textId="04C9CD68" w:rsidR="003A2559" w:rsidRDefault="003A2559" w:rsidP="00E43323">
            <w:pPr>
              <w:spacing w:after="0" w:line="240" w:lineRule="auto"/>
              <w:jc w:val="both"/>
              <w:rPr>
                <w:rFonts w:ascii="Times New Roman" w:eastAsia="Times New Roman" w:hAnsi="Times New Roman" w:cs="Times New Roman"/>
                <w:sz w:val="24"/>
                <w:szCs w:val="24"/>
                <w:lang w:eastAsia="lv-LV"/>
              </w:rPr>
            </w:pPr>
            <w:r w:rsidRPr="003A2559">
              <w:rPr>
                <w:rFonts w:ascii="Times New Roman" w:eastAsia="Times New Roman" w:hAnsi="Times New Roman" w:cs="Times New Roman"/>
                <w:sz w:val="24"/>
                <w:szCs w:val="24"/>
                <w:lang w:eastAsia="lv-LV"/>
              </w:rPr>
              <w:t xml:space="preserve">Sabiedrības līdzdalības rezultātā par </w:t>
            </w:r>
            <w:r w:rsidR="008A708C">
              <w:rPr>
                <w:rFonts w:ascii="Times New Roman" w:eastAsia="Times New Roman" w:hAnsi="Times New Roman" w:cs="Times New Roman"/>
                <w:sz w:val="24"/>
                <w:szCs w:val="24"/>
                <w:lang w:eastAsia="lv-LV"/>
              </w:rPr>
              <w:t xml:space="preserve">noteikumu </w:t>
            </w:r>
            <w:r w:rsidRPr="003A2559">
              <w:rPr>
                <w:rFonts w:ascii="Times New Roman" w:eastAsia="Times New Roman" w:hAnsi="Times New Roman" w:cs="Times New Roman"/>
                <w:sz w:val="24"/>
                <w:szCs w:val="24"/>
                <w:lang w:eastAsia="lv-LV"/>
              </w:rPr>
              <w:t xml:space="preserve">projektu </w:t>
            </w:r>
            <w:r w:rsidR="0029526B">
              <w:rPr>
                <w:rFonts w:ascii="Times New Roman" w:eastAsia="Times New Roman" w:hAnsi="Times New Roman" w:cs="Times New Roman"/>
                <w:sz w:val="24"/>
                <w:szCs w:val="24"/>
                <w:lang w:eastAsia="lv-LV"/>
              </w:rPr>
              <w:t xml:space="preserve">tika </w:t>
            </w:r>
            <w:r w:rsidRPr="003A2559">
              <w:rPr>
                <w:rFonts w:ascii="Times New Roman" w:eastAsia="Times New Roman" w:hAnsi="Times New Roman" w:cs="Times New Roman"/>
                <w:sz w:val="24"/>
                <w:szCs w:val="24"/>
                <w:lang w:eastAsia="lv-LV"/>
              </w:rPr>
              <w:t xml:space="preserve">saņemti priekšlikumi no </w:t>
            </w:r>
            <w:r w:rsidR="00367B3B" w:rsidRPr="00367B3B">
              <w:rPr>
                <w:rFonts w:ascii="Times New Roman" w:eastAsia="Times New Roman" w:hAnsi="Times New Roman" w:cs="Times New Roman"/>
                <w:sz w:val="24"/>
                <w:szCs w:val="24"/>
                <w:lang w:eastAsia="lv-LV"/>
              </w:rPr>
              <w:t>Latvijas Finanšu nozares asociācija</w:t>
            </w:r>
            <w:r w:rsidR="00367B3B">
              <w:rPr>
                <w:rFonts w:ascii="Times New Roman" w:eastAsia="Times New Roman" w:hAnsi="Times New Roman" w:cs="Times New Roman"/>
                <w:sz w:val="24"/>
                <w:szCs w:val="24"/>
                <w:lang w:eastAsia="lv-LV"/>
              </w:rPr>
              <w:t>s</w:t>
            </w:r>
            <w:r w:rsidRPr="003A2559">
              <w:rPr>
                <w:rFonts w:ascii="Times New Roman" w:eastAsia="Times New Roman" w:hAnsi="Times New Roman" w:cs="Times New Roman"/>
                <w:sz w:val="24"/>
                <w:szCs w:val="24"/>
                <w:lang w:eastAsia="lv-LV"/>
              </w:rPr>
              <w:t>. To apkopojums pievienots anotācijas pielikumā.</w:t>
            </w:r>
          </w:p>
          <w:p w14:paraId="6E1E1023" w14:textId="5B891ECE" w:rsidR="00E13764" w:rsidRPr="009B27BE" w:rsidRDefault="00E13764" w:rsidP="00604D84">
            <w:pPr>
              <w:spacing w:after="0" w:line="240" w:lineRule="auto"/>
              <w:jc w:val="both"/>
              <w:rPr>
                <w:rFonts w:ascii="Times New Roman" w:eastAsia="Times New Roman" w:hAnsi="Times New Roman" w:cs="Times New Roman"/>
                <w:i/>
                <w:iCs/>
                <w:sz w:val="24"/>
                <w:szCs w:val="24"/>
                <w:lang w:eastAsia="lv-LV"/>
              </w:rPr>
            </w:pPr>
          </w:p>
        </w:tc>
      </w:tr>
    </w:tbl>
    <w:p w14:paraId="613CD665" w14:textId="1C8F412E" w:rsidR="004666BE" w:rsidRDefault="004666BE">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br w:type="page"/>
      </w:r>
    </w:p>
    <w:p w14:paraId="4CB887D8" w14:textId="77777777" w:rsidR="0041314F" w:rsidRDefault="0041314F" w:rsidP="00CA2E54">
      <w:pPr>
        <w:spacing w:after="0" w:line="240" w:lineRule="auto"/>
        <w:ind w:right="395"/>
        <w:jc w:val="right"/>
        <w:rPr>
          <w:rFonts w:ascii="Times New Roman" w:hAnsi="Times New Roman" w:cs="Times New Roman"/>
          <w:bCs/>
          <w:color w:val="000000" w:themeColor="text1"/>
          <w:sz w:val="24"/>
          <w:szCs w:val="24"/>
        </w:rPr>
        <w:sectPr w:rsidR="0041314F" w:rsidSect="0041314F">
          <w:headerReference w:type="default" r:id="rId12"/>
          <w:footerReference w:type="default" r:id="rId13"/>
          <w:pgSz w:w="11906" w:h="16838" w:code="9"/>
          <w:pgMar w:top="1134" w:right="1134" w:bottom="1134" w:left="1701" w:header="709" w:footer="709" w:gutter="0"/>
          <w:cols w:space="708"/>
          <w:titlePg/>
          <w:docGrid w:linePitch="360"/>
        </w:sectPr>
      </w:pPr>
    </w:p>
    <w:p w14:paraId="1EF7B5E8" w14:textId="12AA69E9" w:rsidR="00CA2E54" w:rsidRDefault="00CA2E54" w:rsidP="00CA2E54">
      <w:pPr>
        <w:spacing w:after="0" w:line="240" w:lineRule="auto"/>
        <w:ind w:right="395"/>
        <w:jc w:val="right"/>
        <w:rPr>
          <w:rFonts w:ascii="Times New Roman" w:hAnsi="Times New Roman" w:cs="Times New Roman"/>
          <w:bCs/>
          <w:color w:val="000000" w:themeColor="text1"/>
          <w:sz w:val="24"/>
          <w:szCs w:val="24"/>
        </w:rPr>
      </w:pPr>
      <w:r w:rsidRPr="004F2D62">
        <w:rPr>
          <w:rFonts w:ascii="Times New Roman" w:hAnsi="Times New Roman" w:cs="Times New Roman"/>
          <w:bCs/>
          <w:color w:val="000000" w:themeColor="text1"/>
          <w:sz w:val="24"/>
          <w:szCs w:val="24"/>
        </w:rPr>
        <w:lastRenderedPageBreak/>
        <w:t>Pielikums</w:t>
      </w:r>
      <w:r w:rsidRPr="00AF5082">
        <w:rPr>
          <w:rFonts w:ascii="Times New Roman" w:hAnsi="Times New Roman" w:cs="Times New Roman"/>
          <w:bCs/>
          <w:color w:val="000000" w:themeColor="text1"/>
          <w:sz w:val="24"/>
          <w:szCs w:val="24"/>
        </w:rPr>
        <w:br/>
        <w:t>Latvijas Bankas noteikumu projekta anotācijai</w:t>
      </w:r>
    </w:p>
    <w:p w14:paraId="200A4A71" w14:textId="77777777" w:rsidR="00CA2E54" w:rsidRPr="00AF5082" w:rsidRDefault="00CA2E54" w:rsidP="00CA2E54">
      <w:pPr>
        <w:spacing w:after="0" w:line="240" w:lineRule="auto"/>
        <w:rPr>
          <w:rFonts w:ascii="Times New Roman" w:hAnsi="Times New Roman" w:cs="Times New Roman"/>
          <w:bCs/>
          <w:color w:val="000000" w:themeColor="text1"/>
          <w:sz w:val="24"/>
          <w:szCs w:val="24"/>
        </w:rPr>
      </w:pPr>
    </w:p>
    <w:p w14:paraId="45D69DA1" w14:textId="77777777" w:rsidR="00CA2E54" w:rsidRPr="00AF5082" w:rsidRDefault="00CA2E54" w:rsidP="00CA2E54">
      <w:pPr>
        <w:spacing w:after="0" w:line="240" w:lineRule="auto"/>
        <w:ind w:right="395"/>
        <w:jc w:val="center"/>
        <w:rPr>
          <w:rFonts w:ascii="Times New Roman" w:hAnsi="Times New Roman" w:cs="Times New Roman"/>
          <w:bCs/>
          <w:color w:val="000000" w:themeColor="text1"/>
          <w:sz w:val="24"/>
          <w:szCs w:val="24"/>
        </w:rPr>
      </w:pPr>
      <w:r w:rsidRPr="00AF5082">
        <w:rPr>
          <w:rFonts w:ascii="Times New Roman" w:hAnsi="Times New Roman" w:cs="Times New Roman"/>
          <w:b/>
          <w:color w:val="000000" w:themeColor="text1"/>
          <w:sz w:val="24"/>
          <w:szCs w:val="24"/>
        </w:rPr>
        <w:t xml:space="preserve">Sabiedrības līdzdalības gaitā saņemto priekšlikumu par Latvijas Bankas noteikumu projektu </w:t>
      </w:r>
      <w:r w:rsidRPr="002D5939">
        <w:rPr>
          <w:rFonts w:ascii="Times New Roman" w:hAnsi="Times New Roman" w:cs="Times New Roman"/>
          <w:b/>
          <w:bCs/>
          <w:color w:val="000000" w:themeColor="text1"/>
          <w:sz w:val="24"/>
          <w:szCs w:val="24"/>
        </w:rPr>
        <w:t>"Grozījumi Latvijas Bankas 2024. gada 9. decembra noteikumos Nr. 367 "Noteikumi par fondu apvienošanu, galvenās un pakārtotās struktūras darījumiem un ieguldījumu apliecību izplatīšanas kārtību""</w:t>
      </w:r>
      <w:r>
        <w:rPr>
          <w:rFonts w:ascii="Times New Roman" w:hAnsi="Times New Roman" w:cs="Times New Roman"/>
          <w:b/>
          <w:bCs/>
          <w:color w:val="000000" w:themeColor="text1"/>
          <w:sz w:val="24"/>
          <w:szCs w:val="24"/>
        </w:rPr>
        <w:t xml:space="preserve"> </w:t>
      </w:r>
      <w:r w:rsidRPr="00AF5082">
        <w:rPr>
          <w:rFonts w:ascii="Times New Roman" w:hAnsi="Times New Roman" w:cs="Times New Roman"/>
          <w:b/>
          <w:color w:val="000000" w:themeColor="text1"/>
          <w:sz w:val="24"/>
          <w:szCs w:val="24"/>
        </w:rPr>
        <w:t>apkopojums</w:t>
      </w:r>
    </w:p>
    <w:p w14:paraId="5569F564" w14:textId="77777777" w:rsidR="00CA2E54" w:rsidRPr="00AF5082" w:rsidRDefault="00CA2E54" w:rsidP="00CA2E54">
      <w:pPr>
        <w:spacing w:after="0" w:line="240" w:lineRule="auto"/>
        <w:rPr>
          <w:rFonts w:ascii="Times New Roman" w:hAnsi="Times New Roman" w:cs="Times New Roman"/>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585"/>
        <w:gridCol w:w="5442"/>
        <w:gridCol w:w="4518"/>
      </w:tblGrid>
      <w:tr w:rsidR="00CA2E54" w:rsidRPr="00AF5082" w14:paraId="47BE1D2C" w14:textId="77777777" w:rsidTr="005501EB">
        <w:tc>
          <w:tcPr>
            <w:tcW w:w="0" w:type="auto"/>
            <w:tcBorders>
              <w:top w:val="single" w:sz="4" w:space="0" w:color="auto"/>
              <w:left w:val="single" w:sz="4" w:space="0" w:color="auto"/>
              <w:bottom w:val="single" w:sz="4" w:space="0" w:color="auto"/>
              <w:right w:val="single" w:sz="4" w:space="0" w:color="auto"/>
            </w:tcBorders>
          </w:tcPr>
          <w:p w14:paraId="5CF7D73E" w14:textId="77777777" w:rsidR="00CA2E54" w:rsidRPr="00AF5082" w:rsidRDefault="00CA2E54" w:rsidP="005501EB">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Nr.</w:t>
            </w:r>
            <w:r w:rsidRPr="00AF5082">
              <w:rPr>
                <w:rFonts w:ascii="Times New Roman" w:hAnsi="Times New Roman" w:cs="Times New Roman"/>
                <w:b/>
                <w:color w:val="000000" w:themeColor="text1"/>
                <w:sz w:val="24"/>
                <w:szCs w:val="24"/>
              </w:rPr>
              <w:br/>
              <w:t>p. k.</w:t>
            </w:r>
          </w:p>
        </w:tc>
        <w:tc>
          <w:tcPr>
            <w:tcW w:w="3585" w:type="dxa"/>
            <w:tcBorders>
              <w:top w:val="single" w:sz="4" w:space="0" w:color="auto"/>
              <w:left w:val="single" w:sz="4" w:space="0" w:color="auto"/>
              <w:bottom w:val="single" w:sz="4" w:space="0" w:color="auto"/>
              <w:right w:val="single" w:sz="4" w:space="0" w:color="auto"/>
            </w:tcBorders>
            <w:hideMark/>
          </w:tcPr>
          <w:p w14:paraId="2B093E2A" w14:textId="77777777" w:rsidR="00CA2E54" w:rsidRPr="00AF5082" w:rsidRDefault="00CA2E54" w:rsidP="005501EB">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 xml:space="preserve">Sabiedrības līdzdalībai nodotā projekta redakcija </w:t>
            </w:r>
            <w:r w:rsidRPr="00AF5082">
              <w:rPr>
                <w:rFonts w:ascii="Times New Roman" w:hAnsi="Times New Roman" w:cs="Times New Roman"/>
                <w:b/>
                <w:iCs/>
                <w:color w:val="000000" w:themeColor="text1"/>
                <w:sz w:val="24"/>
                <w:szCs w:val="24"/>
              </w:rPr>
              <w:t>(konkrētā punkta redakcija)</w:t>
            </w:r>
          </w:p>
        </w:tc>
        <w:tc>
          <w:tcPr>
            <w:tcW w:w="5442" w:type="dxa"/>
            <w:tcBorders>
              <w:top w:val="single" w:sz="4" w:space="0" w:color="auto"/>
              <w:left w:val="single" w:sz="4" w:space="0" w:color="auto"/>
              <w:bottom w:val="single" w:sz="4" w:space="0" w:color="auto"/>
              <w:right w:val="single" w:sz="4" w:space="0" w:color="auto"/>
            </w:tcBorders>
            <w:hideMark/>
          </w:tcPr>
          <w:p w14:paraId="1CA2A687" w14:textId="77777777" w:rsidR="00CA2E54" w:rsidRPr="00AF5082" w:rsidRDefault="00CA2E54" w:rsidP="005501EB">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Izteiktais iebildums (priekšlikums)</w:t>
            </w:r>
            <w:r w:rsidRPr="00AF5082">
              <w:rPr>
                <w:rFonts w:ascii="Times New Roman" w:hAnsi="Times New Roman" w:cs="Times New Roman"/>
                <w:b/>
                <w:iCs/>
                <w:color w:val="000000" w:themeColor="text1"/>
                <w:sz w:val="24"/>
                <w:szCs w:val="24"/>
              </w:rPr>
              <w:t xml:space="preserve"> par projekta konkrēto punktu, norādot sabiedrības pārstāvi</w:t>
            </w:r>
          </w:p>
        </w:tc>
        <w:tc>
          <w:tcPr>
            <w:tcW w:w="4518" w:type="dxa"/>
            <w:tcBorders>
              <w:top w:val="single" w:sz="4" w:space="0" w:color="auto"/>
              <w:left w:val="single" w:sz="4" w:space="0" w:color="auto"/>
              <w:bottom w:val="single" w:sz="4" w:space="0" w:color="auto"/>
              <w:right w:val="single" w:sz="4" w:space="0" w:color="auto"/>
            </w:tcBorders>
            <w:hideMark/>
          </w:tcPr>
          <w:p w14:paraId="26DB57A5" w14:textId="77777777" w:rsidR="00CA2E54" w:rsidRPr="00AF5082" w:rsidRDefault="00CA2E54" w:rsidP="005501EB">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iCs/>
                <w:color w:val="000000" w:themeColor="text1"/>
                <w:sz w:val="24"/>
                <w:szCs w:val="24"/>
              </w:rPr>
              <w:t xml:space="preserve">Latvijas Bankas </w:t>
            </w:r>
            <w:r w:rsidRPr="00AF5082">
              <w:rPr>
                <w:rFonts w:ascii="Times New Roman" w:hAnsi="Times New Roman" w:cs="Times New Roman"/>
                <w:b/>
                <w:color w:val="000000" w:themeColor="text1"/>
                <w:sz w:val="24"/>
                <w:szCs w:val="24"/>
              </w:rPr>
              <w:t xml:space="preserve">viedoklis par izteikto iebildumu (priekšlikumu) un </w:t>
            </w:r>
            <w:r w:rsidRPr="00AF5082">
              <w:rPr>
                <w:rFonts w:ascii="Times New Roman" w:hAnsi="Times New Roman" w:cs="Times New Roman"/>
                <w:b/>
                <w:iCs/>
                <w:color w:val="000000" w:themeColor="text1"/>
                <w:sz w:val="24"/>
                <w:szCs w:val="24"/>
              </w:rPr>
              <w:t>norāde, vai tas ņemts vērā</w:t>
            </w:r>
          </w:p>
        </w:tc>
      </w:tr>
      <w:tr w:rsidR="00CA2E54" w:rsidRPr="00AF5082" w14:paraId="25F996D6" w14:textId="77777777" w:rsidTr="005501EB">
        <w:tc>
          <w:tcPr>
            <w:tcW w:w="0" w:type="auto"/>
            <w:tcBorders>
              <w:top w:val="single" w:sz="4" w:space="0" w:color="auto"/>
              <w:left w:val="single" w:sz="4" w:space="0" w:color="auto"/>
              <w:bottom w:val="single" w:sz="4" w:space="0" w:color="auto"/>
              <w:right w:val="single" w:sz="4" w:space="0" w:color="auto"/>
            </w:tcBorders>
          </w:tcPr>
          <w:p w14:paraId="6371FEB8" w14:textId="77777777" w:rsidR="00CA2E54" w:rsidRPr="00A3013E" w:rsidRDefault="00CA2E54" w:rsidP="005501EB">
            <w:pPr>
              <w:spacing w:after="0" w:line="240" w:lineRule="auto"/>
              <w:rPr>
                <w:rFonts w:ascii="Times New Roman" w:hAnsi="Times New Roman" w:cs="Times New Roman"/>
                <w:bCs/>
                <w:color w:val="000000" w:themeColor="text1"/>
                <w:sz w:val="24"/>
                <w:szCs w:val="24"/>
              </w:rPr>
            </w:pPr>
            <w:r w:rsidRPr="00A3013E">
              <w:rPr>
                <w:rFonts w:ascii="Times New Roman" w:hAnsi="Times New Roman" w:cs="Times New Roman"/>
                <w:bCs/>
                <w:color w:val="000000" w:themeColor="text1"/>
                <w:sz w:val="24"/>
                <w:szCs w:val="24"/>
              </w:rPr>
              <w:t>1.</w:t>
            </w:r>
          </w:p>
        </w:tc>
        <w:tc>
          <w:tcPr>
            <w:tcW w:w="3585" w:type="dxa"/>
            <w:tcBorders>
              <w:top w:val="single" w:sz="4" w:space="0" w:color="auto"/>
              <w:left w:val="single" w:sz="4" w:space="0" w:color="auto"/>
              <w:bottom w:val="single" w:sz="4" w:space="0" w:color="auto"/>
              <w:right w:val="single" w:sz="4" w:space="0" w:color="auto"/>
            </w:tcBorders>
          </w:tcPr>
          <w:p w14:paraId="2745BB9A" w14:textId="77777777" w:rsidR="00CA2E54" w:rsidRPr="00B06BAA" w:rsidRDefault="00CA2E54" w:rsidP="005501EB">
            <w:pPr>
              <w:spacing w:after="0" w:line="240" w:lineRule="auto"/>
              <w:jc w:val="both"/>
              <w:rPr>
                <w:rFonts w:ascii="Times New Roman" w:hAnsi="Times New Roman" w:cs="Times New Roman"/>
                <w:bCs/>
                <w:color w:val="000000" w:themeColor="text1"/>
                <w:sz w:val="24"/>
                <w:szCs w:val="24"/>
              </w:rPr>
            </w:pPr>
            <w:r w:rsidRPr="00B06BAA">
              <w:rPr>
                <w:rFonts w:ascii="Times New Roman" w:hAnsi="Times New Roman" w:cs="Times New Roman"/>
                <w:bCs/>
                <w:color w:val="000000" w:themeColor="text1"/>
                <w:sz w:val="24"/>
                <w:szCs w:val="24"/>
              </w:rPr>
              <w:t>Ieguldījumu apliecību izplatīšanas definīcija</w:t>
            </w:r>
          </w:p>
          <w:p w14:paraId="393AC5DB" w14:textId="77777777" w:rsidR="00CA2E54" w:rsidRPr="00B06BAA" w:rsidRDefault="00CA2E54" w:rsidP="005501EB">
            <w:pPr>
              <w:spacing w:after="0" w:line="240" w:lineRule="auto"/>
              <w:jc w:val="both"/>
              <w:rPr>
                <w:rFonts w:ascii="Times New Roman" w:hAnsi="Times New Roman" w:cs="Times New Roman"/>
                <w:b/>
                <w:color w:val="000000" w:themeColor="text1"/>
                <w:sz w:val="24"/>
                <w:szCs w:val="24"/>
              </w:rPr>
            </w:pPr>
          </w:p>
        </w:tc>
        <w:tc>
          <w:tcPr>
            <w:tcW w:w="5442" w:type="dxa"/>
            <w:tcBorders>
              <w:top w:val="single" w:sz="4" w:space="0" w:color="auto"/>
              <w:left w:val="single" w:sz="4" w:space="0" w:color="auto"/>
              <w:bottom w:val="single" w:sz="4" w:space="0" w:color="auto"/>
              <w:right w:val="single" w:sz="4" w:space="0" w:color="auto"/>
            </w:tcBorders>
          </w:tcPr>
          <w:p w14:paraId="1EC54444" w14:textId="77777777" w:rsidR="00CA2E54"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Latvijas Finanšu nozares asociācija</w:t>
            </w:r>
            <w:r>
              <w:rPr>
                <w:rFonts w:ascii="Times New Roman" w:hAnsi="Times New Roman" w:cs="Times New Roman"/>
                <w:color w:val="000000" w:themeColor="text1"/>
                <w:sz w:val="24"/>
                <w:szCs w:val="24"/>
              </w:rPr>
              <w:t xml:space="preserve"> (28.08.2025.):</w:t>
            </w:r>
          </w:p>
          <w:p w14:paraId="10D8B927" w14:textId="77777777" w:rsidR="00CA2E54" w:rsidRDefault="00CA2E54" w:rsidP="005501EB">
            <w:pPr>
              <w:spacing w:after="0" w:line="240" w:lineRule="auto"/>
              <w:jc w:val="both"/>
              <w:rPr>
                <w:rFonts w:ascii="Times New Roman" w:hAnsi="Times New Roman" w:cs="Times New Roman"/>
                <w:color w:val="000000" w:themeColor="text1"/>
                <w:sz w:val="24"/>
                <w:szCs w:val="24"/>
              </w:rPr>
            </w:pPr>
          </w:p>
          <w:p w14:paraId="6543B57A"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Noteikumos izmantots apzīmējums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ieguldījumu apliecību izplatīšana</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tomēr ne pašos noteikumos, ne arī Ieguldījumu pārvaldes sabiedrību likumā neatrodam šī apzīmējuma definīciju.</w:t>
            </w:r>
          </w:p>
          <w:p w14:paraId="7195FEE1"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i/>
                <w:iCs/>
                <w:color w:val="000000" w:themeColor="text1"/>
                <w:sz w:val="24"/>
                <w:szCs w:val="24"/>
              </w:rPr>
              <w:t xml:space="preserve">Eiropas Parlamenta un Padomes Direktīvas 2009/65/EK ( 2009. gada 13. jūlijs) par normatīvo un administratīvo aktu koordināciju attiecībā uz pārvedamu vērtspapīru kolektīvo ieguldījumu uzņēmumiem (PVKIU) </w:t>
            </w:r>
            <w:r w:rsidRPr="00B06BAA">
              <w:rPr>
                <w:rFonts w:ascii="Times New Roman" w:hAnsi="Times New Roman" w:cs="Times New Roman"/>
                <w:color w:val="000000" w:themeColor="text1"/>
                <w:sz w:val="24"/>
                <w:szCs w:val="24"/>
              </w:rPr>
              <w:t>(2025.gada 17.janvāra pārstrādātajā redakcijā), 91.pants nosaka:</w:t>
            </w:r>
          </w:p>
          <w:p w14:paraId="225FFDB8"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Teksts latviski:</w:t>
            </w:r>
          </w:p>
          <w:p w14:paraId="5795389C"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i/>
                <w:iCs/>
                <w:color w:val="000000" w:themeColor="text1"/>
                <w:sz w:val="24"/>
                <w:szCs w:val="24"/>
              </w:rPr>
              <w:t>1. PVKIU uzņēmējas dalībvalstis nodrošina, ka PVKIU var pārdot savus sertifikātus to teritorijā pēc paziņošanas saskaņā ar 93. pantu.</w:t>
            </w:r>
          </w:p>
          <w:p w14:paraId="12A99E6D"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i/>
                <w:iCs/>
                <w:color w:val="000000" w:themeColor="text1"/>
                <w:sz w:val="24"/>
                <w:szCs w:val="24"/>
              </w:rPr>
              <w:t>2. PVKIU uzņēmējas dalībvalstis šīs direktīvas reglamentētajā jomā nenosaka PVKIU piemērojamas papildu prasības vai administratīvas procedūras kā tikai tās, kas minētas 1. punktā.</w:t>
            </w:r>
          </w:p>
          <w:p w14:paraId="102F88B4"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Teksts angliski:</w:t>
            </w:r>
          </w:p>
          <w:p w14:paraId="0A9C1159"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i/>
                <w:iCs/>
                <w:color w:val="000000" w:themeColor="text1"/>
                <w:sz w:val="24"/>
                <w:szCs w:val="24"/>
              </w:rPr>
              <w:lastRenderedPageBreak/>
              <w:t xml:space="preserve">1. UCITS </w:t>
            </w:r>
            <w:proofErr w:type="spellStart"/>
            <w:r w:rsidRPr="00B06BAA">
              <w:rPr>
                <w:rFonts w:ascii="Times New Roman" w:hAnsi="Times New Roman" w:cs="Times New Roman"/>
                <w:i/>
                <w:iCs/>
                <w:color w:val="000000" w:themeColor="text1"/>
                <w:sz w:val="24"/>
                <w:szCs w:val="24"/>
              </w:rPr>
              <w:t>host</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Member</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States</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shall</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ensure</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that</w:t>
            </w:r>
            <w:proofErr w:type="spellEnd"/>
            <w:r w:rsidRPr="00B06BAA">
              <w:rPr>
                <w:rFonts w:ascii="Times New Roman" w:hAnsi="Times New Roman" w:cs="Times New Roman"/>
                <w:i/>
                <w:iCs/>
                <w:color w:val="000000" w:themeColor="text1"/>
                <w:sz w:val="24"/>
                <w:szCs w:val="24"/>
              </w:rPr>
              <w:t xml:space="preserve"> </w:t>
            </w:r>
            <w:r w:rsidRPr="00B06BAA">
              <w:rPr>
                <w:rFonts w:ascii="Times New Roman" w:hAnsi="Times New Roman" w:cs="Times New Roman"/>
                <w:b/>
                <w:bCs/>
                <w:i/>
                <w:iCs/>
                <w:color w:val="000000" w:themeColor="text1"/>
                <w:sz w:val="24"/>
                <w:szCs w:val="24"/>
              </w:rPr>
              <w:t xml:space="preserve">UCITS </w:t>
            </w:r>
            <w:proofErr w:type="spellStart"/>
            <w:r w:rsidRPr="00B06BAA">
              <w:rPr>
                <w:rFonts w:ascii="Times New Roman" w:hAnsi="Times New Roman" w:cs="Times New Roman"/>
                <w:b/>
                <w:bCs/>
                <w:i/>
                <w:iCs/>
                <w:color w:val="000000" w:themeColor="text1"/>
                <w:sz w:val="24"/>
                <w:szCs w:val="24"/>
              </w:rPr>
              <w:t>are</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able</w:t>
            </w:r>
            <w:proofErr w:type="spellEnd"/>
            <w:r w:rsidRPr="00B06BAA">
              <w:rPr>
                <w:rFonts w:ascii="Times New Roman" w:hAnsi="Times New Roman" w:cs="Times New Roman"/>
                <w:b/>
                <w:bCs/>
                <w:i/>
                <w:iCs/>
                <w:color w:val="000000" w:themeColor="text1"/>
                <w:sz w:val="24"/>
                <w:szCs w:val="24"/>
              </w:rPr>
              <w:t xml:space="preserve"> to </w:t>
            </w:r>
            <w:proofErr w:type="spellStart"/>
            <w:r w:rsidRPr="00B06BAA">
              <w:rPr>
                <w:rFonts w:ascii="Times New Roman" w:hAnsi="Times New Roman" w:cs="Times New Roman"/>
                <w:b/>
                <w:bCs/>
                <w:i/>
                <w:iCs/>
                <w:color w:val="000000" w:themeColor="text1"/>
                <w:sz w:val="24"/>
                <w:szCs w:val="24"/>
              </w:rPr>
              <w:t>market</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their</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units</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within</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their</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territories</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upon</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notification</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in</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accordance</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with</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Article</w:t>
            </w:r>
            <w:proofErr w:type="spellEnd"/>
            <w:r w:rsidRPr="00B06BAA">
              <w:rPr>
                <w:rFonts w:ascii="Times New Roman" w:hAnsi="Times New Roman" w:cs="Times New Roman"/>
                <w:i/>
                <w:iCs/>
                <w:color w:val="000000" w:themeColor="text1"/>
                <w:sz w:val="24"/>
                <w:szCs w:val="24"/>
              </w:rPr>
              <w:t> 93.</w:t>
            </w:r>
          </w:p>
          <w:p w14:paraId="20524067"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i/>
                <w:iCs/>
                <w:color w:val="000000" w:themeColor="text1"/>
                <w:sz w:val="24"/>
                <w:szCs w:val="24"/>
              </w:rPr>
              <w:t xml:space="preserve">2. UCITS </w:t>
            </w:r>
            <w:proofErr w:type="spellStart"/>
            <w:r w:rsidRPr="00B06BAA">
              <w:rPr>
                <w:rFonts w:ascii="Times New Roman" w:hAnsi="Times New Roman" w:cs="Times New Roman"/>
                <w:i/>
                <w:iCs/>
                <w:color w:val="000000" w:themeColor="text1"/>
                <w:sz w:val="24"/>
                <w:szCs w:val="24"/>
              </w:rPr>
              <w:t>host</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Member</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States</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shall</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not</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impose</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any</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additional</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requirements</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or</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administrative</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procedures</w:t>
            </w:r>
            <w:proofErr w:type="spellEnd"/>
            <w:r w:rsidRPr="00B06BAA">
              <w:rPr>
                <w:rFonts w:ascii="Times New Roman" w:hAnsi="Times New Roman" w:cs="Times New Roman"/>
                <w:b/>
                <w:bCs/>
                <w:i/>
                <w:iCs/>
                <w:color w:val="000000" w:themeColor="text1"/>
                <w:sz w:val="24"/>
                <w:szCs w:val="24"/>
              </w:rPr>
              <w:t xml:space="preserve"> </w:t>
            </w:r>
            <w:proofErr w:type="spellStart"/>
            <w:r w:rsidRPr="00B06BAA">
              <w:rPr>
                <w:rFonts w:ascii="Times New Roman" w:hAnsi="Times New Roman" w:cs="Times New Roman"/>
                <w:b/>
                <w:bCs/>
                <w:i/>
                <w:iCs/>
                <w:color w:val="000000" w:themeColor="text1"/>
                <w:sz w:val="24"/>
                <w:szCs w:val="24"/>
              </w:rPr>
              <w:t>on</w:t>
            </w:r>
            <w:proofErr w:type="spellEnd"/>
            <w:r w:rsidRPr="00B06BAA">
              <w:rPr>
                <w:rFonts w:ascii="Times New Roman" w:hAnsi="Times New Roman" w:cs="Times New Roman"/>
                <w:b/>
                <w:bCs/>
                <w:i/>
                <w:iCs/>
                <w:color w:val="000000" w:themeColor="text1"/>
                <w:sz w:val="24"/>
                <w:szCs w:val="24"/>
              </w:rPr>
              <w:t xml:space="preserve"> UCITS</w:t>
            </w:r>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as</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referred</w:t>
            </w:r>
            <w:proofErr w:type="spellEnd"/>
            <w:r w:rsidRPr="00B06BAA">
              <w:rPr>
                <w:rFonts w:ascii="Times New Roman" w:hAnsi="Times New Roman" w:cs="Times New Roman"/>
                <w:i/>
                <w:iCs/>
                <w:color w:val="000000" w:themeColor="text1"/>
                <w:sz w:val="24"/>
                <w:szCs w:val="24"/>
              </w:rPr>
              <w:t xml:space="preserve"> to </w:t>
            </w:r>
            <w:proofErr w:type="spellStart"/>
            <w:r w:rsidRPr="00B06BAA">
              <w:rPr>
                <w:rFonts w:ascii="Times New Roman" w:hAnsi="Times New Roman" w:cs="Times New Roman"/>
                <w:i/>
                <w:iCs/>
                <w:color w:val="000000" w:themeColor="text1"/>
                <w:sz w:val="24"/>
                <w:szCs w:val="24"/>
              </w:rPr>
              <w:t>in</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paragraph</w:t>
            </w:r>
            <w:proofErr w:type="spellEnd"/>
            <w:r w:rsidRPr="00B06BAA">
              <w:rPr>
                <w:rFonts w:ascii="Times New Roman" w:hAnsi="Times New Roman" w:cs="Times New Roman"/>
                <w:i/>
                <w:iCs/>
                <w:color w:val="000000" w:themeColor="text1"/>
                <w:sz w:val="24"/>
                <w:szCs w:val="24"/>
              </w:rPr>
              <w:t xml:space="preserve"> 1 </w:t>
            </w:r>
            <w:proofErr w:type="spellStart"/>
            <w:r w:rsidRPr="00B06BAA">
              <w:rPr>
                <w:rFonts w:ascii="Times New Roman" w:hAnsi="Times New Roman" w:cs="Times New Roman"/>
                <w:i/>
                <w:iCs/>
                <w:color w:val="000000" w:themeColor="text1"/>
                <w:sz w:val="24"/>
                <w:szCs w:val="24"/>
              </w:rPr>
              <w:t>in</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respect</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of</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the</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field</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governed</w:t>
            </w:r>
            <w:proofErr w:type="spellEnd"/>
            <w:r w:rsidRPr="00B06BAA">
              <w:rPr>
                <w:rFonts w:ascii="Times New Roman" w:hAnsi="Times New Roman" w:cs="Times New Roman"/>
                <w:i/>
                <w:iCs/>
                <w:color w:val="000000" w:themeColor="text1"/>
                <w:sz w:val="24"/>
                <w:szCs w:val="24"/>
              </w:rPr>
              <w:t xml:space="preserve"> by </w:t>
            </w:r>
            <w:proofErr w:type="spellStart"/>
            <w:r w:rsidRPr="00B06BAA">
              <w:rPr>
                <w:rFonts w:ascii="Times New Roman" w:hAnsi="Times New Roman" w:cs="Times New Roman"/>
                <w:i/>
                <w:iCs/>
                <w:color w:val="000000" w:themeColor="text1"/>
                <w:sz w:val="24"/>
                <w:szCs w:val="24"/>
              </w:rPr>
              <w:t>this</w:t>
            </w:r>
            <w:proofErr w:type="spellEnd"/>
            <w:r w:rsidRPr="00B06BAA">
              <w:rPr>
                <w:rFonts w:ascii="Times New Roman" w:hAnsi="Times New Roman" w:cs="Times New Roman"/>
                <w:i/>
                <w:iCs/>
                <w:color w:val="000000" w:themeColor="text1"/>
                <w:sz w:val="24"/>
                <w:szCs w:val="24"/>
              </w:rPr>
              <w:t xml:space="preserve"> </w:t>
            </w:r>
            <w:proofErr w:type="spellStart"/>
            <w:r w:rsidRPr="00B06BAA">
              <w:rPr>
                <w:rFonts w:ascii="Times New Roman" w:hAnsi="Times New Roman" w:cs="Times New Roman"/>
                <w:i/>
                <w:iCs/>
                <w:color w:val="000000" w:themeColor="text1"/>
                <w:sz w:val="24"/>
                <w:szCs w:val="24"/>
              </w:rPr>
              <w:t>Directive</w:t>
            </w:r>
            <w:proofErr w:type="spellEnd"/>
            <w:r w:rsidRPr="00B06BAA">
              <w:rPr>
                <w:rFonts w:ascii="Times New Roman" w:hAnsi="Times New Roman" w:cs="Times New Roman"/>
                <w:i/>
                <w:iCs/>
                <w:color w:val="000000" w:themeColor="text1"/>
                <w:sz w:val="24"/>
                <w:szCs w:val="24"/>
              </w:rPr>
              <w:t>.</w:t>
            </w:r>
          </w:p>
          <w:p w14:paraId="0E7D6452"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Savukārt, Direktīvas 93.pants nosaka:</w:t>
            </w:r>
          </w:p>
          <w:p w14:paraId="7B7E5A67"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 xml:space="preserve">Latviski: 1. Ja PVKIU </w:t>
            </w:r>
            <w:r w:rsidRPr="00B06BAA">
              <w:rPr>
                <w:rFonts w:ascii="Times New Roman" w:hAnsi="Times New Roman" w:cs="Times New Roman"/>
                <w:b/>
                <w:bCs/>
                <w:color w:val="000000" w:themeColor="text1"/>
                <w:sz w:val="24"/>
                <w:szCs w:val="24"/>
              </w:rPr>
              <w:t>paredz laist tirgū savus sertifikātus dalībvalstī, kas nav šī PVKIU piederības dalībvalsts</w:t>
            </w:r>
            <w:r w:rsidRPr="00B06BAA">
              <w:rPr>
                <w:rFonts w:ascii="Times New Roman" w:hAnsi="Times New Roman" w:cs="Times New Roman"/>
                <w:color w:val="000000" w:themeColor="text1"/>
                <w:sz w:val="24"/>
                <w:szCs w:val="24"/>
              </w:rPr>
              <w:t>, tas vispirms nosūta paziņojuma vēstuli piederības dalībvalsts kompetentajām iestādēm.</w:t>
            </w:r>
          </w:p>
          <w:p w14:paraId="395F1F99"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 xml:space="preserve">Angliski: 1. </w:t>
            </w:r>
            <w:proofErr w:type="spellStart"/>
            <w:r w:rsidRPr="00B06BAA">
              <w:rPr>
                <w:rFonts w:ascii="Times New Roman" w:hAnsi="Times New Roman" w:cs="Times New Roman"/>
                <w:color w:val="000000" w:themeColor="text1"/>
                <w:sz w:val="24"/>
                <w:szCs w:val="24"/>
              </w:rPr>
              <w:t>If</w:t>
            </w:r>
            <w:proofErr w:type="spellEnd"/>
            <w:r w:rsidRPr="00B06BAA">
              <w:rPr>
                <w:rFonts w:ascii="Times New Roman" w:hAnsi="Times New Roman" w:cs="Times New Roman"/>
                <w:color w:val="000000" w:themeColor="text1"/>
                <w:sz w:val="24"/>
                <w:szCs w:val="24"/>
              </w:rPr>
              <w:t xml:space="preserve"> a UCITS </w:t>
            </w:r>
            <w:proofErr w:type="spellStart"/>
            <w:r w:rsidRPr="00B06BAA">
              <w:rPr>
                <w:rFonts w:ascii="Times New Roman" w:hAnsi="Times New Roman" w:cs="Times New Roman"/>
                <w:b/>
                <w:bCs/>
                <w:color w:val="000000" w:themeColor="text1"/>
                <w:sz w:val="24"/>
                <w:szCs w:val="24"/>
              </w:rPr>
              <w:t>proposes</w:t>
            </w:r>
            <w:proofErr w:type="spellEnd"/>
            <w:r w:rsidRPr="00B06BAA">
              <w:rPr>
                <w:rFonts w:ascii="Times New Roman" w:hAnsi="Times New Roman" w:cs="Times New Roman"/>
                <w:b/>
                <w:bCs/>
                <w:color w:val="000000" w:themeColor="text1"/>
                <w:sz w:val="24"/>
                <w:szCs w:val="24"/>
              </w:rPr>
              <w:t xml:space="preserve"> to </w:t>
            </w:r>
            <w:proofErr w:type="spellStart"/>
            <w:r w:rsidRPr="00B06BAA">
              <w:rPr>
                <w:rFonts w:ascii="Times New Roman" w:hAnsi="Times New Roman" w:cs="Times New Roman"/>
                <w:b/>
                <w:bCs/>
                <w:color w:val="000000" w:themeColor="text1"/>
                <w:sz w:val="24"/>
                <w:szCs w:val="24"/>
              </w:rPr>
              <w:t>market</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its</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units</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in</w:t>
            </w:r>
            <w:proofErr w:type="spellEnd"/>
            <w:r w:rsidRPr="00B06BAA">
              <w:rPr>
                <w:rFonts w:ascii="Times New Roman" w:hAnsi="Times New Roman" w:cs="Times New Roman"/>
                <w:b/>
                <w:bCs/>
                <w:color w:val="000000" w:themeColor="text1"/>
                <w:sz w:val="24"/>
                <w:szCs w:val="24"/>
              </w:rPr>
              <w:t xml:space="preserve"> a </w:t>
            </w:r>
            <w:proofErr w:type="spellStart"/>
            <w:r w:rsidRPr="00B06BAA">
              <w:rPr>
                <w:rFonts w:ascii="Times New Roman" w:hAnsi="Times New Roman" w:cs="Times New Roman"/>
                <w:b/>
                <w:bCs/>
                <w:color w:val="000000" w:themeColor="text1"/>
                <w:sz w:val="24"/>
                <w:szCs w:val="24"/>
              </w:rPr>
              <w:t>Member</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State</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other</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than</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its</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home</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Member</w:t>
            </w:r>
            <w:proofErr w:type="spellEnd"/>
            <w:r w:rsidRPr="00B06BAA">
              <w:rPr>
                <w:rFonts w:ascii="Times New Roman" w:hAnsi="Times New Roman" w:cs="Times New Roman"/>
                <w:b/>
                <w:bCs/>
                <w:color w:val="000000" w:themeColor="text1"/>
                <w:sz w:val="24"/>
                <w:szCs w:val="24"/>
              </w:rPr>
              <w:t xml:space="preserve"> </w:t>
            </w:r>
            <w:proofErr w:type="spellStart"/>
            <w:r w:rsidRPr="00B06BAA">
              <w:rPr>
                <w:rFonts w:ascii="Times New Roman" w:hAnsi="Times New Roman" w:cs="Times New Roman"/>
                <w:b/>
                <w:bCs/>
                <w:color w:val="000000" w:themeColor="text1"/>
                <w:sz w:val="24"/>
                <w:szCs w:val="24"/>
              </w:rPr>
              <w:t>State</w:t>
            </w:r>
            <w:proofErr w:type="spellEnd"/>
            <w:r w:rsidRPr="00B06BAA">
              <w:rPr>
                <w:rFonts w:ascii="Times New Roman" w:hAnsi="Times New Roman" w:cs="Times New Roman"/>
                <w:color w:val="000000" w:themeColor="text1"/>
                <w:sz w:val="24"/>
                <w:szCs w:val="24"/>
              </w:rPr>
              <w:t xml:space="preserve">, it </w:t>
            </w:r>
            <w:proofErr w:type="spellStart"/>
            <w:r w:rsidRPr="00B06BAA">
              <w:rPr>
                <w:rFonts w:ascii="Times New Roman" w:hAnsi="Times New Roman" w:cs="Times New Roman"/>
                <w:color w:val="000000" w:themeColor="text1"/>
                <w:sz w:val="24"/>
                <w:szCs w:val="24"/>
              </w:rPr>
              <w:t>shall</w:t>
            </w:r>
            <w:proofErr w:type="spellEnd"/>
            <w:r w:rsidRPr="00B06BAA">
              <w:rPr>
                <w:rFonts w:ascii="Times New Roman" w:hAnsi="Times New Roman" w:cs="Times New Roman"/>
                <w:color w:val="000000" w:themeColor="text1"/>
                <w:sz w:val="24"/>
                <w:szCs w:val="24"/>
              </w:rPr>
              <w:t xml:space="preserve"> first </w:t>
            </w:r>
            <w:proofErr w:type="spellStart"/>
            <w:r w:rsidRPr="00B06BAA">
              <w:rPr>
                <w:rFonts w:ascii="Times New Roman" w:hAnsi="Times New Roman" w:cs="Times New Roman"/>
                <w:color w:val="000000" w:themeColor="text1"/>
                <w:sz w:val="24"/>
                <w:szCs w:val="24"/>
              </w:rPr>
              <w:t>submit</w:t>
            </w:r>
            <w:proofErr w:type="spellEnd"/>
            <w:r w:rsidRPr="00B06BAA">
              <w:rPr>
                <w:rFonts w:ascii="Times New Roman" w:hAnsi="Times New Roman" w:cs="Times New Roman"/>
                <w:color w:val="000000" w:themeColor="text1"/>
                <w:sz w:val="24"/>
                <w:szCs w:val="24"/>
              </w:rPr>
              <w:t xml:space="preserve"> a </w:t>
            </w:r>
            <w:proofErr w:type="spellStart"/>
            <w:r w:rsidRPr="00B06BAA">
              <w:rPr>
                <w:rFonts w:ascii="Times New Roman" w:hAnsi="Times New Roman" w:cs="Times New Roman"/>
                <w:color w:val="000000" w:themeColor="text1"/>
                <w:sz w:val="24"/>
                <w:szCs w:val="24"/>
              </w:rPr>
              <w:t>notification</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letter</w:t>
            </w:r>
            <w:proofErr w:type="spellEnd"/>
            <w:r w:rsidRPr="00B06BAA">
              <w:rPr>
                <w:rFonts w:ascii="Times New Roman" w:hAnsi="Times New Roman" w:cs="Times New Roman"/>
                <w:color w:val="000000" w:themeColor="text1"/>
                <w:sz w:val="24"/>
                <w:szCs w:val="24"/>
              </w:rPr>
              <w:t xml:space="preserve"> to </w:t>
            </w:r>
            <w:proofErr w:type="spellStart"/>
            <w:r w:rsidRPr="00B06BAA">
              <w:rPr>
                <w:rFonts w:ascii="Times New Roman" w:hAnsi="Times New Roman" w:cs="Times New Roman"/>
                <w:color w:val="000000" w:themeColor="text1"/>
                <w:sz w:val="24"/>
                <w:szCs w:val="24"/>
              </w:rPr>
              <w:t>the</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competent</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authorities</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of</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its</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home</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Member</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State</w:t>
            </w:r>
            <w:proofErr w:type="spellEnd"/>
            <w:r w:rsidRPr="00B06BAA">
              <w:rPr>
                <w:rFonts w:ascii="Times New Roman" w:hAnsi="Times New Roman" w:cs="Times New Roman"/>
                <w:color w:val="000000" w:themeColor="text1"/>
                <w:sz w:val="24"/>
                <w:szCs w:val="24"/>
              </w:rPr>
              <w:t>.</w:t>
            </w:r>
          </w:p>
          <w:p w14:paraId="114C05EE"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 xml:space="preserve">Šķiet, Direktīvas latviešu valodas tulkojums, kā tas ne reti ir ar ES tiesību aktiem, satur neprecīzu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marketing </w:t>
            </w:r>
            <w:proofErr w:type="spellStart"/>
            <w:r w:rsidRPr="00B06BAA">
              <w:rPr>
                <w:rFonts w:ascii="Times New Roman" w:hAnsi="Times New Roman" w:cs="Times New Roman"/>
                <w:color w:val="000000" w:themeColor="text1"/>
                <w:sz w:val="24"/>
                <w:szCs w:val="24"/>
              </w:rPr>
              <w:t>of</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units</w:t>
            </w:r>
            <w:proofErr w:type="spellEnd"/>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 tulkojumu, jo 91.pantā tiek izmantoti vārdi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apliecību pārdošana</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 (EN: </w:t>
            </w:r>
            <w:proofErr w:type="spellStart"/>
            <w:r w:rsidRPr="00B06BAA">
              <w:rPr>
                <w:rFonts w:ascii="Times New Roman" w:hAnsi="Times New Roman" w:cs="Times New Roman"/>
                <w:color w:val="000000" w:themeColor="text1"/>
                <w:sz w:val="24"/>
                <w:szCs w:val="24"/>
              </w:rPr>
              <w:t>sales</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of</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units</w:t>
            </w:r>
            <w:proofErr w:type="spellEnd"/>
            <w:r w:rsidRPr="00B06BAA">
              <w:rPr>
                <w:rFonts w:ascii="Times New Roman" w:hAnsi="Times New Roman" w:cs="Times New Roman"/>
                <w:color w:val="000000" w:themeColor="text1"/>
                <w:sz w:val="24"/>
                <w:szCs w:val="24"/>
              </w:rPr>
              <w:t xml:space="preserve">), savukārt 93.pantā –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apliecību laišana tirgū</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 (EN: </w:t>
            </w:r>
            <w:proofErr w:type="spellStart"/>
            <w:r w:rsidRPr="00B06BAA">
              <w:rPr>
                <w:rFonts w:ascii="Times New Roman" w:hAnsi="Times New Roman" w:cs="Times New Roman"/>
                <w:color w:val="000000" w:themeColor="text1"/>
                <w:sz w:val="24"/>
                <w:szCs w:val="24"/>
              </w:rPr>
              <w:t>distribution</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of</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units</w:t>
            </w:r>
            <w:proofErr w:type="spellEnd"/>
            <w:r w:rsidRPr="00B06BAA">
              <w:rPr>
                <w:rFonts w:ascii="Times New Roman" w:hAnsi="Times New Roman" w:cs="Times New Roman"/>
                <w:color w:val="000000" w:themeColor="text1"/>
                <w:sz w:val="24"/>
                <w:szCs w:val="24"/>
              </w:rPr>
              <w:t>), jāsecina, ka  tulkojums jēdzieniski neatbilst Eiropas Parlamenta un Padomes noteiktajam mērķim -  </w:t>
            </w:r>
            <w:r w:rsidRPr="00EC1BA1">
              <w:rPr>
                <w:rFonts w:ascii="Times New Roman" w:hAnsi="Times New Roman" w:cs="Times New Roman"/>
                <w:color w:val="000000" w:themeColor="text1"/>
                <w:sz w:val="24"/>
                <w:szCs w:val="24"/>
              </w:rPr>
              <w:t>fondu apliecību pārdošanas veicināšana</w:t>
            </w:r>
            <w:r w:rsidRPr="00B06BAA">
              <w:rPr>
                <w:rFonts w:ascii="Times New Roman" w:hAnsi="Times New Roman" w:cs="Times New Roman"/>
                <w:color w:val="000000" w:themeColor="text1"/>
                <w:sz w:val="24"/>
                <w:szCs w:val="24"/>
              </w:rPr>
              <w:t xml:space="preserve"> (marketing </w:t>
            </w:r>
            <w:proofErr w:type="spellStart"/>
            <w:r w:rsidRPr="00B06BAA">
              <w:rPr>
                <w:rFonts w:ascii="Times New Roman" w:hAnsi="Times New Roman" w:cs="Times New Roman"/>
                <w:color w:val="000000" w:themeColor="text1"/>
                <w:sz w:val="24"/>
                <w:szCs w:val="24"/>
              </w:rPr>
              <w:t>of</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fund</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units</w:t>
            </w:r>
            <w:proofErr w:type="spellEnd"/>
            <w:r w:rsidRPr="00B06BAA">
              <w:rPr>
                <w:rFonts w:ascii="Times New Roman" w:hAnsi="Times New Roman" w:cs="Times New Roman"/>
                <w:color w:val="000000" w:themeColor="text1"/>
                <w:sz w:val="24"/>
                <w:szCs w:val="24"/>
              </w:rPr>
              <w:t>) citās ES dalībvalstīs, proti, vienota ES tirgus attīstībai un arvien kvalitatīvāku pakalpojumu pieejamībai ES pilsoņiem.  </w:t>
            </w:r>
          </w:p>
          <w:p w14:paraId="2C8C2AAB"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i/>
                <w:iCs/>
                <w:color w:val="000000" w:themeColor="text1"/>
                <w:sz w:val="24"/>
                <w:szCs w:val="24"/>
              </w:rPr>
              <w:t xml:space="preserve">Eiropas Parlamenta un Padomes 2019. gada 20. jūnija Regula (ES) 2019/1156 par kolektīvo ieguldījumu uzņēmumu pārrobežu izplatīšanas atvieglošanu un ar kuru groza Regulas (ES) Nr. 345/2013, (ES) Nr. </w:t>
            </w:r>
            <w:r w:rsidRPr="00B06BAA">
              <w:rPr>
                <w:rFonts w:ascii="Times New Roman" w:hAnsi="Times New Roman" w:cs="Times New Roman"/>
                <w:i/>
                <w:iCs/>
                <w:color w:val="000000" w:themeColor="text1"/>
                <w:sz w:val="24"/>
                <w:szCs w:val="24"/>
              </w:rPr>
              <w:lastRenderedPageBreak/>
              <w:t>346/2013 un (ES) Nr. 1286/2014</w:t>
            </w:r>
            <w:r w:rsidRPr="00B06BAA">
              <w:rPr>
                <w:rFonts w:ascii="Times New Roman" w:hAnsi="Times New Roman" w:cs="Times New Roman"/>
                <w:color w:val="000000" w:themeColor="text1"/>
                <w:sz w:val="24"/>
                <w:szCs w:val="24"/>
              </w:rPr>
              <w:t xml:space="preserve"> nosaka vispārējus priekšnosacījumus pārvedamu vērtspapīru kolektīvo ieguldījumu uzņēmumu (PVKIU) pārrobežu izplatīšanas atvieglošanai, cita starpā nosakot arī pienākumu pirms tirgvedības paziņojumu izplatīšanas </w:t>
            </w:r>
            <w:r w:rsidRPr="00B06BAA">
              <w:rPr>
                <w:rFonts w:ascii="Times New Roman" w:hAnsi="Times New Roman" w:cs="Times New Roman"/>
                <w:b/>
                <w:bCs/>
                <w:color w:val="000000" w:themeColor="text1"/>
                <w:sz w:val="24"/>
                <w:szCs w:val="24"/>
              </w:rPr>
              <w:t>dalībvalstī saskaņot tirgvedības paziņojumus ar vietējo kompetento iestādi</w:t>
            </w:r>
            <w:r w:rsidRPr="00B06BAA">
              <w:rPr>
                <w:rFonts w:ascii="Times New Roman" w:hAnsi="Times New Roman" w:cs="Times New Roman"/>
                <w:color w:val="000000" w:themeColor="text1"/>
                <w:sz w:val="24"/>
                <w:szCs w:val="24"/>
              </w:rPr>
              <w:t>. Līdztekus Regulai, Eiropas Vērtspapīru un tirgu iestāde</w:t>
            </w:r>
            <w:r w:rsidRPr="00B06BAA">
              <w:rPr>
                <w:rFonts w:ascii="Times New Roman" w:hAnsi="Times New Roman" w:cs="Times New Roman"/>
                <w:b/>
                <w:bCs/>
                <w:color w:val="000000" w:themeColor="text1"/>
                <w:sz w:val="24"/>
                <w:szCs w:val="24"/>
              </w:rPr>
              <w:t xml:space="preserve">  </w:t>
            </w:r>
            <w:r w:rsidRPr="00B06BAA">
              <w:rPr>
                <w:rFonts w:ascii="Times New Roman" w:hAnsi="Times New Roman" w:cs="Times New Roman"/>
                <w:color w:val="000000" w:themeColor="text1"/>
                <w:sz w:val="24"/>
                <w:szCs w:val="24"/>
              </w:rPr>
              <w:t xml:space="preserve">(ESMA) 02.08.21. publicēja Pamatnostādnes par tirgvedības paziņojumiem saskaņā ar Regulu par fondu pārrobežu izplatīšanu, kurās paskaidrota Regulā izmantotā terminoloģija un sniegti dažādi prakses piemēri attiecībā uz prasībām par ieguldījumu fondu atbilstošu pārrobežu izplatīšanu. Saskaņā ar minētajiem dokumentiem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marketing </w:t>
            </w:r>
            <w:proofErr w:type="spellStart"/>
            <w:r w:rsidRPr="00B06BAA">
              <w:rPr>
                <w:rFonts w:ascii="Times New Roman" w:hAnsi="Times New Roman" w:cs="Times New Roman"/>
                <w:color w:val="000000" w:themeColor="text1"/>
                <w:sz w:val="24"/>
                <w:szCs w:val="24"/>
              </w:rPr>
              <w:t>communication</w:t>
            </w:r>
            <w:proofErr w:type="spellEnd"/>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 tiek atbilstoši tulkots kā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tirgvedības paziņojumi</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w:t>
            </w:r>
          </w:p>
          <w:p w14:paraId="184DA63C"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 xml:space="preserve">Ieskatām, ka ieguldījuma apliecību iegāde ar citā dalībvalstī reģistrēta ieguldījumu pakalpojuma sniedzēja palīdzību pati par sevi nav uzskatāma par ieguldījuma apliecības izplatīšanu vai pārdošanas veicināšanu (marketing </w:t>
            </w:r>
            <w:proofErr w:type="spellStart"/>
            <w:r w:rsidRPr="00B06BAA">
              <w:rPr>
                <w:rFonts w:ascii="Times New Roman" w:hAnsi="Times New Roman" w:cs="Times New Roman"/>
                <w:color w:val="000000" w:themeColor="text1"/>
                <w:sz w:val="24"/>
                <w:szCs w:val="24"/>
              </w:rPr>
              <w:t>of</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fund</w:t>
            </w:r>
            <w:proofErr w:type="spellEnd"/>
            <w:r w:rsidRPr="00B06BAA">
              <w:rPr>
                <w:rFonts w:ascii="Times New Roman" w:hAnsi="Times New Roman" w:cs="Times New Roman"/>
                <w:color w:val="000000" w:themeColor="text1"/>
                <w:sz w:val="24"/>
                <w:szCs w:val="24"/>
              </w:rPr>
              <w:t xml:space="preserve"> </w:t>
            </w:r>
            <w:proofErr w:type="spellStart"/>
            <w:r w:rsidRPr="00B06BAA">
              <w:rPr>
                <w:rFonts w:ascii="Times New Roman" w:hAnsi="Times New Roman" w:cs="Times New Roman"/>
                <w:color w:val="000000" w:themeColor="text1"/>
                <w:sz w:val="24"/>
                <w:szCs w:val="24"/>
              </w:rPr>
              <w:t>units</w:t>
            </w:r>
            <w:proofErr w:type="spellEnd"/>
            <w:r w:rsidRPr="00B06BAA">
              <w:rPr>
                <w:rFonts w:ascii="Times New Roman" w:hAnsi="Times New Roman" w:cs="Times New Roman"/>
                <w:color w:val="000000" w:themeColor="text1"/>
                <w:sz w:val="24"/>
                <w:szCs w:val="24"/>
              </w:rPr>
              <w:t>), bet ir vērsta uz klienta-ieguldītāja pēc iespējas plašākas rīcības brīvības nodrošināšanu. Proti, veikt ieguldījumus citā dalībvalstī izplatītā vai arī regulētā finanšu tirgū (biržā) iekļautā finanšu instrumentā.</w:t>
            </w:r>
          </w:p>
          <w:p w14:paraId="75EF038A" w14:textId="77777777" w:rsidR="00CA2E54" w:rsidRPr="00B06BAA"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 xml:space="preserve">Nolūkā novērst iespējamus pārpratumus, ko varētu radīt noteikumos lietotā terminoloģija, lūdzam tajos izmantot regulas un pamatnostādņu terminus. Alternatīvi noteikumos ietvert termina </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apliecību izplatīšana</w:t>
            </w:r>
            <w:r>
              <w:rPr>
                <w:rFonts w:ascii="Times New Roman" w:hAnsi="Times New Roman" w:cs="Times New Roman"/>
                <w:color w:val="000000" w:themeColor="text1"/>
                <w:sz w:val="24"/>
                <w:szCs w:val="24"/>
              </w:rPr>
              <w:t>"</w:t>
            </w:r>
            <w:r w:rsidRPr="00B06BAA">
              <w:rPr>
                <w:rFonts w:ascii="Times New Roman" w:hAnsi="Times New Roman" w:cs="Times New Roman"/>
                <w:color w:val="000000" w:themeColor="text1"/>
                <w:sz w:val="24"/>
                <w:szCs w:val="24"/>
              </w:rPr>
              <w:t xml:space="preserve"> skaidrojumu vai arī noteikt, kāda informācija sniedzama vai darbības veicamas, ievērojot pamatnostādnes. Piemēram,  ieguldījuma </w:t>
            </w:r>
            <w:r w:rsidRPr="00B06BAA">
              <w:rPr>
                <w:rFonts w:ascii="Times New Roman" w:hAnsi="Times New Roman" w:cs="Times New Roman"/>
                <w:color w:val="000000" w:themeColor="text1"/>
                <w:sz w:val="24"/>
                <w:szCs w:val="24"/>
              </w:rPr>
              <w:lastRenderedPageBreak/>
              <w:t>apliecību rīkojumu apstrādi, informācijas sniegšanu par ieguldījumu fondu, kura nesatur tirgvedības paziņojumus, biržā tirgotu (ETF) fondu iegāde, fondu saraksts pakalpojuma sniedzēja tīmekļa vietnē un tml. drīkst veikt neinformējot  par to Latvijas Banku.</w:t>
            </w:r>
          </w:p>
          <w:p w14:paraId="6D67CABA" w14:textId="77777777" w:rsidR="00CA2E54"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 xml:space="preserve">Pievēršam uzmanību, ka Latvijas ieguldītājam, salīdzinot ar ieguldītāju mūsu kaimiņvalstīs, pieejams ļoti šaurs izplatīšanai reģistrētu ieguldījumu fondu klāsts. Tas ierobežo Latvijā reģistrētu ieguldījumu pakalpojumu sniedzēju iespējas izveidot ieguldītāju interesēm atbilstošus, plaši diversificētus ieguldījumu portfeļus.  Biržā tirgoti ieguldījumu fondi, kuri pārsvarā nav reģistrēti Latvijā (jo to reģistrācija izplatīšanai citās Eiropas Savienības dalībvalstīs netiek prasīta, piemēram, Lietuvā </w:t>
            </w:r>
            <w:bookmarkStart w:id="1" w:name="_ftnref1"/>
            <w:r w:rsidRPr="00B06BAA">
              <w:rPr>
                <w:rFonts w:ascii="Times New Roman" w:hAnsi="Times New Roman" w:cs="Times New Roman"/>
                <w:color w:val="000000" w:themeColor="text1"/>
                <w:sz w:val="24"/>
                <w:szCs w:val="24"/>
              </w:rPr>
              <w:fldChar w:fldCharType="begin"/>
            </w:r>
            <w:r w:rsidRPr="00B06BAA">
              <w:rPr>
                <w:rFonts w:ascii="Times New Roman" w:hAnsi="Times New Roman" w:cs="Times New Roman"/>
                <w:color w:val="000000" w:themeColor="text1"/>
                <w:sz w:val="24"/>
                <w:szCs w:val="24"/>
              </w:rPr>
              <w:instrText>HYPERLINK "" \l "_ftn1"</w:instrText>
            </w:r>
            <w:r w:rsidRPr="00B06BAA">
              <w:rPr>
                <w:rFonts w:ascii="Times New Roman" w:hAnsi="Times New Roman" w:cs="Times New Roman"/>
                <w:color w:val="000000" w:themeColor="text1"/>
                <w:sz w:val="24"/>
                <w:szCs w:val="24"/>
              </w:rPr>
            </w:r>
            <w:r w:rsidRPr="00B06BAA">
              <w:rPr>
                <w:rFonts w:ascii="Times New Roman" w:hAnsi="Times New Roman" w:cs="Times New Roman"/>
                <w:color w:val="000000" w:themeColor="text1"/>
                <w:sz w:val="24"/>
                <w:szCs w:val="24"/>
              </w:rPr>
              <w:fldChar w:fldCharType="separate"/>
            </w:r>
            <w:r w:rsidRPr="00B06BAA">
              <w:rPr>
                <w:rStyle w:val="Hyperlink"/>
                <w:rFonts w:ascii="Times New Roman" w:hAnsi="Times New Roman" w:cs="Times New Roman"/>
                <w:sz w:val="24"/>
                <w:szCs w:val="24"/>
              </w:rPr>
              <w:t>[1]</w:t>
            </w:r>
            <w:r w:rsidRPr="00B06BAA">
              <w:rPr>
                <w:rFonts w:ascii="Times New Roman" w:hAnsi="Times New Roman" w:cs="Times New Roman"/>
                <w:color w:val="000000" w:themeColor="text1"/>
                <w:sz w:val="24"/>
                <w:szCs w:val="24"/>
              </w:rPr>
              <w:fldChar w:fldCharType="end"/>
            </w:r>
            <w:bookmarkEnd w:id="1"/>
            <w:r w:rsidRPr="00B06BAA">
              <w:rPr>
                <w:rFonts w:ascii="Times New Roman" w:hAnsi="Times New Roman" w:cs="Times New Roman"/>
                <w:color w:val="000000" w:themeColor="text1"/>
                <w:sz w:val="24"/>
                <w:szCs w:val="24"/>
              </w:rPr>
              <w:t xml:space="preserve">) ir lētākais, klientiem ērtākais vienkāršs finanšu instruments, lai veiktu ieguldījumus plašos akciju vai obligāciju tirgus indeksos. Ja turpmāk ieguldīšanu biržā tirgotos indeksu fondos Latvijā padarīsim komplicētāku, ierobežojot to tikai ar Latvijā izplatīšanai reģistrētiem fondiem, varam paredzēt, ka klientu pāreja uz ārvalstu finanšu iestādēm, it īpaši, </w:t>
            </w:r>
            <w:proofErr w:type="spellStart"/>
            <w:r w:rsidRPr="00B06BAA">
              <w:rPr>
                <w:rFonts w:ascii="Times New Roman" w:hAnsi="Times New Roman" w:cs="Times New Roman"/>
                <w:i/>
                <w:iCs/>
                <w:color w:val="000000" w:themeColor="text1"/>
                <w:sz w:val="24"/>
                <w:szCs w:val="24"/>
              </w:rPr>
              <w:t>fintech</w:t>
            </w:r>
            <w:proofErr w:type="spellEnd"/>
            <w:r w:rsidRPr="00B06BAA">
              <w:rPr>
                <w:rFonts w:ascii="Times New Roman" w:hAnsi="Times New Roman" w:cs="Times New Roman"/>
                <w:i/>
                <w:iCs/>
                <w:color w:val="000000" w:themeColor="text1"/>
                <w:sz w:val="24"/>
                <w:szCs w:val="24"/>
              </w:rPr>
              <w:t xml:space="preserve"> </w:t>
            </w:r>
            <w:r w:rsidRPr="00B06BAA">
              <w:rPr>
                <w:rFonts w:ascii="Times New Roman" w:hAnsi="Times New Roman" w:cs="Times New Roman"/>
                <w:color w:val="000000" w:themeColor="text1"/>
                <w:sz w:val="24"/>
                <w:szCs w:val="24"/>
              </w:rPr>
              <w:t>uzņēmumu veidotām platformām, pastiprināsies, jo citās ES dalībvalstīs šādi ierobežojumi attiecībā uz biržā tirgotiem fondiem (ETF) nepastāv</w:t>
            </w:r>
            <w:r>
              <w:rPr>
                <w:rFonts w:ascii="Times New Roman" w:hAnsi="Times New Roman" w:cs="Times New Roman"/>
                <w:color w:val="000000" w:themeColor="text1"/>
                <w:sz w:val="24"/>
                <w:szCs w:val="24"/>
              </w:rPr>
              <w:t>."</w:t>
            </w:r>
          </w:p>
          <w:p w14:paraId="41D93CAD" w14:textId="77777777" w:rsidR="00CA2E54" w:rsidRDefault="00CA2E54" w:rsidP="005501EB">
            <w:pPr>
              <w:spacing w:after="0" w:line="240" w:lineRule="auto"/>
              <w:jc w:val="both"/>
              <w:rPr>
                <w:rFonts w:ascii="Times New Roman" w:hAnsi="Times New Roman" w:cs="Times New Roman"/>
                <w:color w:val="000000" w:themeColor="text1"/>
                <w:sz w:val="24"/>
                <w:szCs w:val="24"/>
              </w:rPr>
            </w:pPr>
          </w:p>
          <w:p w14:paraId="45F9A378" w14:textId="77777777" w:rsidR="00CA2E54"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Latvijas Finanšu nozares asociācija</w:t>
            </w:r>
            <w:r>
              <w:rPr>
                <w:rFonts w:ascii="Times New Roman" w:hAnsi="Times New Roman" w:cs="Times New Roman"/>
                <w:color w:val="000000" w:themeColor="text1"/>
                <w:sz w:val="24"/>
                <w:szCs w:val="24"/>
              </w:rPr>
              <w:t xml:space="preserve"> (26.09.2025.):</w:t>
            </w:r>
          </w:p>
          <w:p w14:paraId="15011EA5" w14:textId="77777777" w:rsidR="00CA2E54" w:rsidRDefault="00CA2E54" w:rsidP="005501EB">
            <w:pPr>
              <w:spacing w:after="0" w:line="240" w:lineRule="auto"/>
              <w:jc w:val="both"/>
              <w:rPr>
                <w:rFonts w:ascii="Times New Roman" w:hAnsi="Times New Roman" w:cs="Times New Roman"/>
                <w:color w:val="000000" w:themeColor="text1"/>
                <w:sz w:val="24"/>
                <w:szCs w:val="24"/>
              </w:rPr>
            </w:pPr>
          </w:p>
          <w:p w14:paraId="67015091" w14:textId="77777777" w:rsidR="00CA2E54" w:rsidRPr="00B04885" w:rsidRDefault="00CA2E54" w:rsidP="005501EB">
            <w:p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Papildus iepriekšējā vēstulē sniegtajam viedoklim, vēlamies norādīt uz sekojošiem apstākļiem:</w:t>
            </w:r>
          </w:p>
          <w:p w14:paraId="387CC675" w14:textId="77777777" w:rsidR="00CA2E54" w:rsidRPr="00B04885" w:rsidRDefault="00CA2E54" w:rsidP="005501EB">
            <w:pPr>
              <w:numPr>
                <w:ilvl w:val="0"/>
                <w:numId w:val="8"/>
              </w:num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 xml:space="preserve">Atbilstoši Ieguldījumu pārvaldes sabiedrību likuma 5.panta 1.daļas 3.apakšpunktam, kā </w:t>
            </w:r>
            <w:r w:rsidRPr="00B04885">
              <w:rPr>
                <w:rFonts w:ascii="Times New Roman" w:hAnsi="Times New Roman" w:cs="Times New Roman"/>
                <w:color w:val="000000" w:themeColor="text1"/>
                <w:sz w:val="24"/>
                <w:szCs w:val="24"/>
              </w:rPr>
              <w:lastRenderedPageBreak/>
              <w:t>viens no sabiedrības sniegtajiem pakalpojumu veidiem tiek minēts “fonda mārketings”, kas likumdevēja ieskatā ietver - reklamēšanu, ieguldījumu apliecību izplatīšanu, tirgus izpēti un citus līdzīgus pakalpojumus.</w:t>
            </w:r>
          </w:p>
          <w:p w14:paraId="25D6530B" w14:textId="77777777" w:rsidR="00CA2E54" w:rsidRPr="00B04885" w:rsidRDefault="00CA2E54" w:rsidP="005501EB">
            <w:pPr>
              <w:numPr>
                <w:ilvl w:val="0"/>
                <w:numId w:val="8"/>
              </w:num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Saskaņā ar EVTI regulas 16. panta 3. punktu,  valsts kompetentajām iestādēm un finanšu tirgu dalībniekiem jādara viss iespējamais, lai ievērotu 2021. gada 2.augusta Pamatnostādnes par tirgvedības paziņojumiem saskaņā ar Regulu (turpmāk tekstā – Pamatnostādnes).</w:t>
            </w:r>
          </w:p>
          <w:p w14:paraId="2A3C8CFD" w14:textId="77777777" w:rsidR="00CA2E54" w:rsidRPr="00B04885" w:rsidRDefault="00CA2E54" w:rsidP="005501EB">
            <w:pPr>
              <w:numPr>
                <w:ilvl w:val="0"/>
                <w:numId w:val="8"/>
              </w:num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EVTI 2025.gada 21.augusta ziņojums par fondu pārrobežu izplatīšanu (</w:t>
            </w:r>
            <w:hyperlink r:id="rId14" w:history="1">
              <w:r w:rsidRPr="00B04885">
                <w:rPr>
                  <w:rStyle w:val="Hyperlink"/>
                  <w:rFonts w:ascii="Times New Roman" w:hAnsi="Times New Roman" w:cs="Times New Roman"/>
                  <w:sz w:val="24"/>
                  <w:szCs w:val="24"/>
                </w:rPr>
                <w:t xml:space="preserve">ESMA34-45-1576 </w:t>
              </w:r>
              <w:proofErr w:type="spellStart"/>
              <w:r w:rsidRPr="00B04885">
                <w:rPr>
                  <w:rStyle w:val="Hyperlink"/>
                  <w:rFonts w:ascii="Times New Roman" w:hAnsi="Times New Roman" w:cs="Times New Roman"/>
                  <w:sz w:val="24"/>
                  <w:szCs w:val="24"/>
                </w:rPr>
                <w:t>Cross-border</w:t>
              </w:r>
              <w:proofErr w:type="spellEnd"/>
              <w:r w:rsidRPr="00B04885">
                <w:rPr>
                  <w:rStyle w:val="Hyperlink"/>
                  <w:rFonts w:ascii="Times New Roman" w:hAnsi="Times New Roman" w:cs="Times New Roman"/>
                  <w:sz w:val="24"/>
                  <w:szCs w:val="24"/>
                </w:rPr>
                <w:t xml:space="preserve"> </w:t>
              </w:r>
              <w:proofErr w:type="spellStart"/>
              <w:r w:rsidRPr="00B04885">
                <w:rPr>
                  <w:rStyle w:val="Hyperlink"/>
                  <w:rFonts w:ascii="Times New Roman" w:hAnsi="Times New Roman" w:cs="Times New Roman"/>
                  <w:sz w:val="24"/>
                  <w:szCs w:val="24"/>
                </w:rPr>
                <w:t>distribution</w:t>
              </w:r>
              <w:proofErr w:type="spellEnd"/>
              <w:r w:rsidRPr="00B04885">
                <w:rPr>
                  <w:rStyle w:val="Hyperlink"/>
                  <w:rFonts w:ascii="Times New Roman" w:hAnsi="Times New Roman" w:cs="Times New Roman"/>
                  <w:sz w:val="24"/>
                  <w:szCs w:val="24"/>
                </w:rPr>
                <w:t xml:space="preserve"> </w:t>
              </w:r>
              <w:proofErr w:type="spellStart"/>
              <w:r w:rsidRPr="00B04885">
                <w:rPr>
                  <w:rStyle w:val="Hyperlink"/>
                  <w:rFonts w:ascii="Times New Roman" w:hAnsi="Times New Roman" w:cs="Times New Roman"/>
                  <w:sz w:val="24"/>
                  <w:szCs w:val="24"/>
                </w:rPr>
                <w:t>of</w:t>
              </w:r>
              <w:proofErr w:type="spellEnd"/>
              <w:r w:rsidRPr="00B04885">
                <w:rPr>
                  <w:rStyle w:val="Hyperlink"/>
                  <w:rFonts w:ascii="Times New Roman" w:hAnsi="Times New Roman" w:cs="Times New Roman"/>
                  <w:sz w:val="24"/>
                  <w:szCs w:val="24"/>
                </w:rPr>
                <w:t xml:space="preserve"> </w:t>
              </w:r>
              <w:proofErr w:type="spellStart"/>
              <w:r w:rsidRPr="00B04885">
                <w:rPr>
                  <w:rStyle w:val="Hyperlink"/>
                  <w:rFonts w:ascii="Times New Roman" w:hAnsi="Times New Roman" w:cs="Times New Roman"/>
                  <w:sz w:val="24"/>
                  <w:szCs w:val="24"/>
                </w:rPr>
                <w:t>investment</w:t>
              </w:r>
              <w:proofErr w:type="spellEnd"/>
              <w:r w:rsidRPr="00B04885">
                <w:rPr>
                  <w:rStyle w:val="Hyperlink"/>
                  <w:rFonts w:ascii="Times New Roman" w:hAnsi="Times New Roman" w:cs="Times New Roman"/>
                  <w:sz w:val="24"/>
                  <w:szCs w:val="24"/>
                </w:rPr>
                <w:t xml:space="preserve"> funds</w:t>
              </w:r>
            </w:hyperlink>
            <w:r w:rsidRPr="00B04885">
              <w:rPr>
                <w:rFonts w:ascii="Times New Roman" w:hAnsi="Times New Roman" w:cs="Times New Roman"/>
                <w:color w:val="000000" w:themeColor="text1"/>
                <w:sz w:val="24"/>
                <w:szCs w:val="24"/>
              </w:rPr>
              <w:t xml:space="preserve">) ietver Latvijas Republikas Finanšu un kapitāla tirgus komisijas apliecinājumu ievērot Pamatnostādnēs noteikto, kā arī norādi, kādas darbības Latvijā  veicamas pirms ieguldījumu apliecību pārdošanas veicināšanas (ziņojumā lietotais vārds – </w:t>
            </w:r>
            <w:r w:rsidRPr="00B04885">
              <w:rPr>
                <w:rFonts w:ascii="Times New Roman" w:hAnsi="Times New Roman" w:cs="Times New Roman"/>
                <w:i/>
                <w:iCs/>
                <w:color w:val="000000" w:themeColor="text1"/>
                <w:sz w:val="24"/>
                <w:szCs w:val="24"/>
              </w:rPr>
              <w:t>marketing</w:t>
            </w:r>
            <w:r w:rsidRPr="00B04885">
              <w:rPr>
                <w:rFonts w:ascii="Times New Roman" w:hAnsi="Times New Roman" w:cs="Times New Roman"/>
                <w:color w:val="000000" w:themeColor="text1"/>
                <w:sz w:val="24"/>
                <w:szCs w:val="24"/>
              </w:rPr>
              <w:t>).</w:t>
            </w:r>
          </w:p>
          <w:p w14:paraId="6FF97E07" w14:textId="77777777" w:rsidR="00CA2E54" w:rsidRPr="00B04885" w:rsidRDefault="00CA2E54" w:rsidP="005501EB">
            <w:pPr>
              <w:numPr>
                <w:ilvl w:val="0"/>
                <w:numId w:val="8"/>
              </w:num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2014.gada 15.maija Direktīva 2014/65/ES (turpmāk tekstā – MIFID II) paredz ieguldījumu pakalpojumu saņemšanas brīvību starp ES dalībvalstīm (tajā skaitā arī vietējam pakalpojuma sniedzēja brīvu piekļuvi ārvalstu tirgiem bez īpašas reģistrācijas) un neparedz ierobežojumus ieguldītājam patstāvīgi pieņemt neietekmētu (tas nav pamatots ar fonda izplatīšanas aktivitātēm) lēmumu ieguldīt finanšu instrumentos, par to iesniedzot pakalpojuma sniedzējam rīkojumu (</w:t>
            </w:r>
            <w:r w:rsidRPr="00B04885">
              <w:rPr>
                <w:rFonts w:ascii="Times New Roman" w:hAnsi="Times New Roman" w:cs="Times New Roman"/>
                <w:i/>
                <w:iCs/>
                <w:color w:val="000000" w:themeColor="text1"/>
                <w:sz w:val="24"/>
                <w:szCs w:val="24"/>
              </w:rPr>
              <w:t>execution-only</w:t>
            </w:r>
            <w:r w:rsidRPr="00B04885">
              <w:rPr>
                <w:rFonts w:ascii="Times New Roman" w:hAnsi="Times New Roman" w:cs="Times New Roman"/>
                <w:color w:val="000000" w:themeColor="text1"/>
                <w:sz w:val="24"/>
                <w:szCs w:val="24"/>
              </w:rPr>
              <w:t xml:space="preserve">), izņemot  īpašus, ES noteiktus </w:t>
            </w:r>
            <w:r w:rsidRPr="00B04885">
              <w:rPr>
                <w:rFonts w:ascii="Times New Roman" w:hAnsi="Times New Roman" w:cs="Times New Roman"/>
                <w:color w:val="000000" w:themeColor="text1"/>
                <w:sz w:val="24"/>
                <w:szCs w:val="24"/>
              </w:rPr>
              <w:lastRenderedPageBreak/>
              <w:t>ierobežojumus, piemēram, saistībā ar finanšu instrumenta piemērotību klientam vai klienta statusam. Pie šādiem nosacījumiem ieguldītājs iesniedz rīkojumu pakalpojuma sniedzējam par PVKIU apliecību iegādi atbilstoši  Finanšu instrumentu tirgus likuma 126</w:t>
            </w:r>
            <w:r w:rsidRPr="00B04885">
              <w:rPr>
                <w:rFonts w:ascii="Times New Roman" w:hAnsi="Times New Roman" w:cs="Times New Roman"/>
                <w:color w:val="000000" w:themeColor="text1"/>
                <w:sz w:val="24"/>
                <w:szCs w:val="24"/>
                <w:vertAlign w:val="superscript"/>
              </w:rPr>
              <w:t>2</w:t>
            </w:r>
            <w:r w:rsidRPr="00B04885">
              <w:rPr>
                <w:rFonts w:ascii="Times New Roman" w:hAnsi="Times New Roman" w:cs="Times New Roman"/>
                <w:color w:val="000000" w:themeColor="text1"/>
                <w:sz w:val="24"/>
                <w:szCs w:val="24"/>
              </w:rPr>
              <w:t>.panta 12.daļas 1. punkta d. apakšpunktam, kā rezultātā darījuma izpildei nav nepieciešams atbilstības vai piemērotības izvērtējums. Klienta darījuma pamats šādā gadījumā ir ieguldījuma pakalpojums – klienta rīkojumu izpilde – nevis ar fonda pārvaldnieku noslēgts līgums (vai tā neesamība) par apliecību daļas pārdošanas veicināšanu (</w:t>
            </w:r>
            <w:r w:rsidRPr="00B04885">
              <w:rPr>
                <w:rFonts w:ascii="Times New Roman" w:hAnsi="Times New Roman" w:cs="Times New Roman"/>
                <w:i/>
                <w:iCs/>
                <w:color w:val="000000" w:themeColor="text1"/>
                <w:sz w:val="24"/>
                <w:szCs w:val="24"/>
              </w:rPr>
              <w:t>mārketingu</w:t>
            </w:r>
            <w:r w:rsidRPr="00B04885">
              <w:rPr>
                <w:rFonts w:ascii="Times New Roman" w:hAnsi="Times New Roman" w:cs="Times New Roman"/>
                <w:color w:val="000000" w:themeColor="text1"/>
                <w:sz w:val="24"/>
                <w:szCs w:val="24"/>
              </w:rPr>
              <w:t>).</w:t>
            </w:r>
          </w:p>
          <w:p w14:paraId="5164D49E" w14:textId="77777777" w:rsidR="00CA2E54" w:rsidRPr="00B04885" w:rsidRDefault="00CA2E54" w:rsidP="005501EB">
            <w:pPr>
              <w:numPr>
                <w:ilvl w:val="0"/>
                <w:numId w:val="8"/>
              </w:num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Pamatnostādnēs tiek skaidri nošķirtas darbības, kuras EVTI vērtējumā nesatur tirgvedības paziņojumu (</w:t>
            </w:r>
            <w:r w:rsidRPr="00B04885">
              <w:rPr>
                <w:rFonts w:ascii="Times New Roman" w:hAnsi="Times New Roman" w:cs="Times New Roman"/>
                <w:i/>
                <w:iCs/>
                <w:color w:val="000000" w:themeColor="text1"/>
                <w:sz w:val="24"/>
                <w:szCs w:val="24"/>
              </w:rPr>
              <w:t xml:space="preserve">marketing </w:t>
            </w:r>
            <w:proofErr w:type="spellStart"/>
            <w:r w:rsidRPr="00B04885">
              <w:rPr>
                <w:rFonts w:ascii="Times New Roman" w:hAnsi="Times New Roman" w:cs="Times New Roman"/>
                <w:i/>
                <w:iCs/>
                <w:color w:val="000000" w:themeColor="text1"/>
                <w:sz w:val="24"/>
                <w:szCs w:val="24"/>
              </w:rPr>
              <w:t>communication</w:t>
            </w:r>
            <w:proofErr w:type="spellEnd"/>
            <w:r w:rsidRPr="00B04885">
              <w:rPr>
                <w:rFonts w:ascii="Times New Roman" w:hAnsi="Times New Roman" w:cs="Times New Roman"/>
                <w:color w:val="000000" w:themeColor="text1"/>
                <w:sz w:val="24"/>
                <w:szCs w:val="24"/>
              </w:rPr>
              <w:t>) un līdz ar to pirms šādu aktivitāšu izpildes nav nepieciešama paziņošana attiecīgās valsts kompetentajai iestādei, piemēram, ieguldītājiem padarot publiski pieejamu ieguldījumu fondu sarakstu ar to pamatinformācijas dokumentiem.</w:t>
            </w:r>
          </w:p>
          <w:p w14:paraId="243D97D4" w14:textId="77777777" w:rsidR="00CA2E54" w:rsidRPr="00B04885" w:rsidRDefault="00CA2E54" w:rsidP="005501EB">
            <w:pPr>
              <w:numPr>
                <w:ilvl w:val="0"/>
                <w:numId w:val="8"/>
              </w:num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Par piemēru ņemot UCITS ETF, ESMA 01.08.2014. vadlīnijas (ESMA/2014/937EN) paredz atšķirīgu interpretāciju un pieeju gadījumos, kad ieguldītājs veic ieguldījumus otrreizējā tirgū. Cita starpā minētās vadlīnijas nosaka, ka izstrādātājiem ir jāietver pamatinformācijas dokumentos sekojoša atruna:</w:t>
            </w:r>
          </w:p>
          <w:p w14:paraId="69F65F1A" w14:textId="77777777" w:rsidR="00CA2E54" w:rsidRPr="00B04885" w:rsidRDefault="00CA2E54" w:rsidP="005501EB">
            <w:p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lastRenderedPageBreak/>
              <w:t>“</w:t>
            </w:r>
            <w:r w:rsidRPr="00B04885">
              <w:rPr>
                <w:rFonts w:ascii="Times New Roman" w:hAnsi="Times New Roman" w:cs="Times New Roman"/>
                <w:i/>
                <w:iCs/>
                <w:color w:val="000000" w:themeColor="text1"/>
                <w:sz w:val="24"/>
                <w:szCs w:val="24"/>
              </w:rPr>
              <w:t xml:space="preserve">UCITS </w:t>
            </w:r>
            <w:proofErr w:type="spellStart"/>
            <w:r w:rsidRPr="00B04885">
              <w:rPr>
                <w:rFonts w:ascii="Times New Roman" w:hAnsi="Times New Roman" w:cs="Times New Roman"/>
                <w:i/>
                <w:iCs/>
                <w:color w:val="000000" w:themeColor="text1"/>
                <w:sz w:val="24"/>
                <w:szCs w:val="24"/>
              </w:rPr>
              <w:t>ETF’s</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units</w:t>
            </w:r>
            <w:proofErr w:type="spellEnd"/>
            <w:r w:rsidRPr="00B04885">
              <w:rPr>
                <w:rFonts w:ascii="Times New Roman" w:hAnsi="Times New Roman" w:cs="Times New Roman"/>
                <w:i/>
                <w:iCs/>
                <w:color w:val="000000" w:themeColor="text1"/>
                <w:sz w:val="24"/>
                <w:szCs w:val="24"/>
              </w:rPr>
              <w:t xml:space="preserve"> / </w:t>
            </w:r>
            <w:proofErr w:type="spellStart"/>
            <w:r w:rsidRPr="00B04885">
              <w:rPr>
                <w:rFonts w:ascii="Times New Roman" w:hAnsi="Times New Roman" w:cs="Times New Roman"/>
                <w:i/>
                <w:iCs/>
                <w:color w:val="000000" w:themeColor="text1"/>
                <w:sz w:val="24"/>
                <w:szCs w:val="24"/>
              </w:rPr>
              <w:t>shares</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purchased</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on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the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secondary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market</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cannot</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usually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be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sold</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directly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back</w:t>
            </w:r>
            <w:proofErr w:type="spellEnd"/>
            <w:r w:rsidRPr="00B04885">
              <w:rPr>
                <w:rFonts w:ascii="Times New Roman" w:hAnsi="Times New Roman" w:cs="Times New Roman"/>
                <w:i/>
                <w:iCs/>
                <w:color w:val="000000" w:themeColor="text1"/>
                <w:sz w:val="24"/>
                <w:szCs w:val="24"/>
              </w:rPr>
              <w:t xml:space="preserve"> to UCITS ETF. Investors </w:t>
            </w:r>
            <w:proofErr w:type="spellStart"/>
            <w:r w:rsidRPr="00B04885">
              <w:rPr>
                <w:rFonts w:ascii="Times New Roman" w:hAnsi="Times New Roman" w:cs="Times New Roman"/>
                <w:i/>
                <w:iCs/>
                <w:color w:val="000000" w:themeColor="text1"/>
                <w:sz w:val="24"/>
                <w:szCs w:val="24"/>
              </w:rPr>
              <w:t>must</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buy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and</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sell</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units</w:t>
            </w:r>
            <w:proofErr w:type="spellEnd"/>
            <w:r w:rsidRPr="00B04885">
              <w:rPr>
                <w:rFonts w:ascii="Times New Roman" w:hAnsi="Times New Roman" w:cs="Times New Roman"/>
                <w:i/>
                <w:iCs/>
                <w:color w:val="000000" w:themeColor="text1"/>
                <w:sz w:val="24"/>
                <w:szCs w:val="24"/>
              </w:rPr>
              <w:t xml:space="preserve"> / </w:t>
            </w:r>
            <w:proofErr w:type="spellStart"/>
            <w:r w:rsidRPr="00B04885">
              <w:rPr>
                <w:rFonts w:ascii="Times New Roman" w:hAnsi="Times New Roman" w:cs="Times New Roman"/>
                <w:i/>
                <w:iCs/>
                <w:color w:val="000000" w:themeColor="text1"/>
                <w:sz w:val="24"/>
                <w:szCs w:val="24"/>
              </w:rPr>
              <w:t>shares</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on</w:t>
            </w:r>
            <w:proofErr w:type="spellEnd"/>
            <w:r w:rsidRPr="00B04885">
              <w:rPr>
                <w:rFonts w:ascii="Times New Roman" w:hAnsi="Times New Roman" w:cs="Times New Roman"/>
                <w:i/>
                <w:iCs/>
                <w:color w:val="000000" w:themeColor="text1"/>
                <w:sz w:val="24"/>
                <w:szCs w:val="24"/>
              </w:rPr>
              <w:t xml:space="preserve"> a </w:t>
            </w:r>
            <w:proofErr w:type="spellStart"/>
            <w:r w:rsidRPr="00B04885">
              <w:rPr>
                <w:rFonts w:ascii="Times New Roman" w:hAnsi="Times New Roman" w:cs="Times New Roman"/>
                <w:i/>
                <w:iCs/>
                <w:color w:val="000000" w:themeColor="text1"/>
                <w:sz w:val="24"/>
                <w:szCs w:val="24"/>
              </w:rPr>
              <w:t>secondary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market</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with</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the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assistance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of</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an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intermediary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e.g</w:t>
            </w:r>
            <w:proofErr w:type="spellEnd"/>
            <w:r w:rsidRPr="00B04885">
              <w:rPr>
                <w:rFonts w:ascii="Times New Roman" w:hAnsi="Times New Roman" w:cs="Times New Roman"/>
                <w:i/>
                <w:iCs/>
                <w:color w:val="000000" w:themeColor="text1"/>
                <w:sz w:val="24"/>
                <w:szCs w:val="24"/>
              </w:rPr>
              <w:t xml:space="preserve">. a </w:t>
            </w:r>
            <w:proofErr w:type="spellStart"/>
            <w:r w:rsidRPr="00B04885">
              <w:rPr>
                <w:rFonts w:ascii="Times New Roman" w:hAnsi="Times New Roman" w:cs="Times New Roman"/>
                <w:i/>
                <w:iCs/>
                <w:color w:val="000000" w:themeColor="text1"/>
                <w:sz w:val="24"/>
                <w:szCs w:val="24"/>
              </w:rPr>
              <w:t>stockbroker</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and</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may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incur</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fees</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for</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doing</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so</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In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addition</w:t>
            </w:r>
            <w:proofErr w:type="spellEnd"/>
            <w:r w:rsidRPr="00B04885">
              <w:rPr>
                <w:rFonts w:ascii="Times New Roman" w:hAnsi="Times New Roman" w:cs="Times New Roman"/>
                <w:i/>
                <w:iCs/>
                <w:color w:val="000000" w:themeColor="text1"/>
                <w:sz w:val="24"/>
                <w:szCs w:val="24"/>
              </w:rPr>
              <w:t xml:space="preserve">, investors </w:t>
            </w:r>
            <w:proofErr w:type="spellStart"/>
            <w:r w:rsidRPr="00B04885">
              <w:rPr>
                <w:rFonts w:ascii="Times New Roman" w:hAnsi="Times New Roman" w:cs="Times New Roman"/>
                <w:i/>
                <w:iCs/>
                <w:color w:val="000000" w:themeColor="text1"/>
                <w:sz w:val="24"/>
                <w:szCs w:val="24"/>
              </w:rPr>
              <w:t>may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pay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more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than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the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current</w:t>
            </w:r>
            <w:proofErr w:type="spellEnd"/>
            <w:r w:rsidRPr="00B04885">
              <w:rPr>
                <w:rFonts w:ascii="Times New Roman" w:hAnsi="Times New Roman" w:cs="Times New Roman"/>
                <w:i/>
                <w:iCs/>
                <w:color w:val="000000" w:themeColor="text1"/>
                <w:sz w:val="24"/>
                <w:szCs w:val="24"/>
              </w:rPr>
              <w:t xml:space="preserve"> net </w:t>
            </w:r>
            <w:proofErr w:type="spellStart"/>
            <w:r w:rsidRPr="00B04885">
              <w:rPr>
                <w:rFonts w:ascii="Times New Roman" w:hAnsi="Times New Roman" w:cs="Times New Roman"/>
                <w:i/>
                <w:iCs/>
                <w:color w:val="000000" w:themeColor="text1"/>
                <w:sz w:val="24"/>
                <w:szCs w:val="24"/>
              </w:rPr>
              <w:t>asset</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value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when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buying</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units</w:t>
            </w:r>
            <w:proofErr w:type="spellEnd"/>
            <w:r w:rsidRPr="00B04885">
              <w:rPr>
                <w:rFonts w:ascii="Times New Roman" w:hAnsi="Times New Roman" w:cs="Times New Roman"/>
                <w:i/>
                <w:iCs/>
                <w:color w:val="000000" w:themeColor="text1"/>
                <w:sz w:val="24"/>
                <w:szCs w:val="24"/>
              </w:rPr>
              <w:t xml:space="preserve"> / </w:t>
            </w:r>
            <w:proofErr w:type="spellStart"/>
            <w:r w:rsidRPr="00B04885">
              <w:rPr>
                <w:rFonts w:ascii="Times New Roman" w:hAnsi="Times New Roman" w:cs="Times New Roman"/>
                <w:i/>
                <w:iCs/>
                <w:color w:val="000000" w:themeColor="text1"/>
                <w:sz w:val="24"/>
                <w:szCs w:val="24"/>
              </w:rPr>
              <w:t>shares</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and</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may</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receive</w:t>
            </w:r>
            <w:proofErr w:type="spellEnd"/>
            <w:r w:rsidRPr="00B04885">
              <w:rPr>
                <w:rFonts w:ascii="Times New Roman" w:hAnsi="Times New Roman" w:cs="Times New Roman"/>
                <w:i/>
                <w:iCs/>
                <w:color w:val="000000" w:themeColor="text1"/>
                <w:sz w:val="24"/>
                <w:szCs w:val="24"/>
              </w:rPr>
              <w:t xml:space="preserve"> less </w:t>
            </w:r>
            <w:proofErr w:type="spellStart"/>
            <w:r w:rsidRPr="00B04885">
              <w:rPr>
                <w:rFonts w:ascii="Times New Roman" w:hAnsi="Times New Roman" w:cs="Times New Roman"/>
                <w:i/>
                <w:iCs/>
                <w:color w:val="000000" w:themeColor="text1"/>
                <w:sz w:val="24"/>
                <w:szCs w:val="24"/>
              </w:rPr>
              <w:t>than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the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current</w:t>
            </w:r>
            <w:proofErr w:type="spellEnd"/>
            <w:r w:rsidRPr="00B04885">
              <w:rPr>
                <w:rFonts w:ascii="Times New Roman" w:hAnsi="Times New Roman" w:cs="Times New Roman"/>
                <w:i/>
                <w:iCs/>
                <w:color w:val="000000" w:themeColor="text1"/>
                <w:sz w:val="24"/>
                <w:szCs w:val="24"/>
              </w:rPr>
              <w:t xml:space="preserve"> net </w:t>
            </w:r>
            <w:proofErr w:type="spellStart"/>
            <w:r w:rsidRPr="00B04885">
              <w:rPr>
                <w:rFonts w:ascii="Times New Roman" w:hAnsi="Times New Roman" w:cs="Times New Roman"/>
                <w:i/>
                <w:iCs/>
                <w:color w:val="000000" w:themeColor="text1"/>
                <w:sz w:val="24"/>
                <w:szCs w:val="24"/>
              </w:rPr>
              <w:t>asset</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value</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when</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selling</w:t>
            </w:r>
            <w:proofErr w:type="spellEnd"/>
            <w:r w:rsidRPr="00B04885">
              <w:rPr>
                <w:rFonts w:ascii="Times New Roman" w:hAnsi="Times New Roman" w:cs="Times New Roman"/>
                <w:i/>
                <w:iCs/>
                <w:color w:val="000000" w:themeColor="text1"/>
                <w:sz w:val="24"/>
                <w:szCs w:val="24"/>
              </w:rPr>
              <w:t xml:space="preserve"> </w:t>
            </w:r>
            <w:proofErr w:type="spellStart"/>
            <w:r w:rsidRPr="00B04885">
              <w:rPr>
                <w:rFonts w:ascii="Times New Roman" w:hAnsi="Times New Roman" w:cs="Times New Roman"/>
                <w:i/>
                <w:iCs/>
                <w:color w:val="000000" w:themeColor="text1"/>
                <w:sz w:val="24"/>
                <w:szCs w:val="24"/>
              </w:rPr>
              <w:t>them</w:t>
            </w:r>
            <w:proofErr w:type="spellEnd"/>
            <w:r w:rsidRPr="00B04885">
              <w:rPr>
                <w:rFonts w:ascii="Times New Roman" w:hAnsi="Times New Roman" w:cs="Times New Roman"/>
                <w:color w:val="000000" w:themeColor="text1"/>
                <w:sz w:val="24"/>
                <w:szCs w:val="24"/>
              </w:rPr>
              <w:t>.” Ņemot vērā, ka piekļuve biržai ir jebkuram tirgus dalībniekam, kā arī tiem nav noslēgti izplatīšanas līgumi ar fonda pārvaldnieku, lai izpildītu ieguldījumu fondu darījumu rīkojumus, veikt ieguldījumus attiecīgajā fonda var jebkurš ES pilsonis, kura pakalpojuma sniedzējam ir piekļuve attiecīgajai biržai tiešā veidā vai ar vērtspapīru turēšanas starpniecību.</w:t>
            </w:r>
          </w:p>
          <w:p w14:paraId="2BAB6667" w14:textId="77777777" w:rsidR="00CA2E54" w:rsidRPr="00B04885" w:rsidRDefault="00CA2E54" w:rsidP="005501EB">
            <w:p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color w:val="000000" w:themeColor="text1"/>
                <w:sz w:val="24"/>
                <w:szCs w:val="24"/>
              </w:rPr>
              <w:t>Tādējādi, uzskatām, ka Latvijas Bankas piedāvātā tiesību normas redakcija iekļauj nepamatoti plašu ieguldījumu apliecību izplatīšanas definīciju, jo ar izplatīšanu var tikt saprasta arī ieguldījumu apliecību pirkšanas un pārdošanas nodrošināšana, kas netiek uzskatīta par daļu no ieguldījuma apliecību izplatīšanas veicināšanas aktivitātēm vai tirgvedības paziņojumu (</w:t>
            </w:r>
            <w:r w:rsidRPr="00B04885">
              <w:rPr>
                <w:rFonts w:ascii="Times New Roman" w:hAnsi="Times New Roman" w:cs="Times New Roman"/>
                <w:i/>
                <w:iCs/>
                <w:color w:val="000000" w:themeColor="text1"/>
                <w:sz w:val="24"/>
                <w:szCs w:val="24"/>
              </w:rPr>
              <w:t xml:space="preserve">marketing </w:t>
            </w:r>
            <w:proofErr w:type="spellStart"/>
            <w:r w:rsidRPr="00B04885">
              <w:rPr>
                <w:rFonts w:ascii="Times New Roman" w:hAnsi="Times New Roman" w:cs="Times New Roman"/>
                <w:i/>
                <w:iCs/>
                <w:color w:val="000000" w:themeColor="text1"/>
                <w:sz w:val="24"/>
                <w:szCs w:val="24"/>
              </w:rPr>
              <w:t>communication</w:t>
            </w:r>
            <w:proofErr w:type="spellEnd"/>
            <w:r w:rsidRPr="00B04885">
              <w:rPr>
                <w:rFonts w:ascii="Times New Roman" w:hAnsi="Times New Roman" w:cs="Times New Roman"/>
                <w:color w:val="000000" w:themeColor="text1"/>
                <w:sz w:val="24"/>
                <w:szCs w:val="24"/>
              </w:rPr>
              <w:t xml:space="preserve">) augstāk minētajos tiesību aktos un Pamatnostādnēs. Jānorāda, ka šāda interpretācija būtiski atšķiras no mūsu kaimiņvalstu finanšu tirgu prakses. </w:t>
            </w:r>
          </w:p>
          <w:p w14:paraId="69843DDB" w14:textId="77777777" w:rsidR="00CA2E54" w:rsidRPr="00AF5082" w:rsidRDefault="00CA2E54" w:rsidP="005501EB">
            <w:pPr>
              <w:spacing w:after="0" w:line="240" w:lineRule="auto"/>
              <w:jc w:val="both"/>
              <w:rPr>
                <w:rFonts w:ascii="Times New Roman" w:hAnsi="Times New Roman" w:cs="Times New Roman"/>
                <w:color w:val="000000" w:themeColor="text1"/>
                <w:sz w:val="24"/>
                <w:szCs w:val="24"/>
              </w:rPr>
            </w:pPr>
          </w:p>
        </w:tc>
        <w:tc>
          <w:tcPr>
            <w:tcW w:w="4518" w:type="dxa"/>
            <w:tcBorders>
              <w:top w:val="single" w:sz="4" w:space="0" w:color="auto"/>
              <w:left w:val="single" w:sz="4" w:space="0" w:color="auto"/>
              <w:bottom w:val="single" w:sz="4" w:space="0" w:color="auto"/>
              <w:right w:val="single" w:sz="4" w:space="0" w:color="auto"/>
            </w:tcBorders>
          </w:tcPr>
          <w:p w14:paraId="1145DC7E" w14:textId="77777777" w:rsidR="00CA2E54" w:rsidRDefault="00CA2E54" w:rsidP="005501EB">
            <w:pPr>
              <w:spacing w:after="0" w:line="240" w:lineRule="auto"/>
              <w:jc w:val="both"/>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lastRenderedPageBreak/>
              <w:t>Ņ</w:t>
            </w:r>
            <w:r w:rsidRPr="00C22632">
              <w:rPr>
                <w:rFonts w:ascii="Times New Roman" w:hAnsi="Times New Roman" w:cs="Times New Roman"/>
                <w:b/>
                <w:iCs/>
                <w:color w:val="000000" w:themeColor="text1"/>
                <w:sz w:val="24"/>
                <w:szCs w:val="24"/>
              </w:rPr>
              <w:t>emts vērā.</w:t>
            </w:r>
          </w:p>
          <w:p w14:paraId="402890C2" w14:textId="77777777" w:rsidR="00CA2E54" w:rsidRDefault="00CA2E54" w:rsidP="005501EB">
            <w:pPr>
              <w:spacing w:after="0" w:line="240" w:lineRule="auto"/>
              <w:jc w:val="both"/>
              <w:rPr>
                <w:rFonts w:ascii="Times New Roman" w:hAnsi="Times New Roman" w:cs="Times New Roman"/>
                <w:b/>
                <w:iCs/>
                <w:color w:val="000000" w:themeColor="text1"/>
                <w:sz w:val="24"/>
                <w:szCs w:val="24"/>
              </w:rPr>
            </w:pPr>
          </w:p>
          <w:p w14:paraId="6F464B26" w14:textId="28061479" w:rsidR="00CA2E54" w:rsidRPr="00481465" w:rsidRDefault="00CA2E54" w:rsidP="005501EB">
            <w:pPr>
              <w:spacing w:after="0" w:line="240" w:lineRule="auto"/>
              <w:jc w:val="both"/>
              <w:rPr>
                <w:rFonts w:ascii="Times New Roman" w:hAnsi="Times New Roman" w:cs="Times New Roman"/>
                <w:bCs/>
                <w:iCs/>
                <w:color w:val="000000" w:themeColor="text1"/>
                <w:sz w:val="24"/>
                <w:szCs w:val="24"/>
              </w:rPr>
            </w:pPr>
            <w:r w:rsidRPr="00481465">
              <w:rPr>
                <w:rFonts w:ascii="Times New Roman" w:hAnsi="Times New Roman" w:cs="Times New Roman"/>
                <w:bCs/>
                <w:iCs/>
                <w:color w:val="000000" w:themeColor="text1"/>
                <w:sz w:val="24"/>
                <w:szCs w:val="24"/>
              </w:rPr>
              <w:t>Noteikumu 2.</w:t>
            </w:r>
            <w:r w:rsidR="0029526B">
              <w:rPr>
                <w:rFonts w:ascii="Times New Roman" w:hAnsi="Times New Roman" w:cs="Times New Roman"/>
                <w:bCs/>
                <w:iCs/>
                <w:color w:val="000000" w:themeColor="text1"/>
                <w:sz w:val="24"/>
                <w:szCs w:val="24"/>
              </w:rPr>
              <w:t> </w:t>
            </w:r>
            <w:r w:rsidRPr="00481465">
              <w:rPr>
                <w:rFonts w:ascii="Times New Roman" w:hAnsi="Times New Roman" w:cs="Times New Roman"/>
                <w:bCs/>
                <w:iCs/>
                <w:color w:val="000000" w:themeColor="text1"/>
                <w:sz w:val="24"/>
                <w:szCs w:val="24"/>
              </w:rPr>
              <w:t>punktā svītroti vārdi "vai minēto apliecību pārdošanu".</w:t>
            </w:r>
          </w:p>
          <w:p w14:paraId="76BDE77D" w14:textId="77777777" w:rsidR="00CA2E54" w:rsidRPr="004A5E34" w:rsidRDefault="00CA2E54" w:rsidP="005501EB">
            <w:pPr>
              <w:spacing w:after="0" w:line="240" w:lineRule="auto"/>
              <w:jc w:val="both"/>
              <w:rPr>
                <w:rFonts w:ascii="Times New Roman" w:hAnsi="Times New Roman" w:cs="Times New Roman"/>
                <w:b/>
                <w:iCs/>
                <w:color w:val="000000" w:themeColor="text1"/>
                <w:sz w:val="24"/>
                <w:szCs w:val="24"/>
              </w:rPr>
            </w:pPr>
          </w:p>
          <w:p w14:paraId="6E669BD2" w14:textId="02E266B3" w:rsidR="00CA2E54" w:rsidRPr="004A5E34" w:rsidRDefault="00CA2E54" w:rsidP="005501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Latvijas Banka papildus </w:t>
            </w:r>
            <w:r w:rsidR="0029526B">
              <w:rPr>
                <w:rFonts w:ascii="Times New Roman" w:hAnsi="Times New Roman" w:cs="Times New Roman"/>
                <w:sz w:val="24"/>
                <w:szCs w:val="24"/>
              </w:rPr>
              <w:t>a</w:t>
            </w:r>
            <w:r w:rsidRPr="004A5E34">
              <w:rPr>
                <w:rFonts w:ascii="Times New Roman" w:hAnsi="Times New Roman" w:cs="Times New Roman"/>
                <w:sz w:val="24"/>
                <w:szCs w:val="24"/>
              </w:rPr>
              <w:t xml:space="preserve">ttiecībā uz to, kāda informācija par </w:t>
            </w:r>
            <w:r>
              <w:rPr>
                <w:rFonts w:ascii="Times New Roman" w:hAnsi="Times New Roman" w:cs="Times New Roman"/>
                <w:sz w:val="24"/>
                <w:szCs w:val="24"/>
              </w:rPr>
              <w:t>d</w:t>
            </w:r>
            <w:r w:rsidRPr="004A5E34">
              <w:rPr>
                <w:rFonts w:ascii="Times New Roman" w:hAnsi="Times New Roman" w:cs="Times New Roman"/>
                <w:sz w:val="24"/>
                <w:szCs w:val="24"/>
              </w:rPr>
              <w:t xml:space="preserve">alībvalstī reģistrētu ieguldījumu fondu ieguldījumu apliecību izplatīšanu ir </w:t>
            </w:r>
            <w:r>
              <w:rPr>
                <w:rFonts w:ascii="Times New Roman" w:hAnsi="Times New Roman" w:cs="Times New Roman"/>
                <w:sz w:val="24"/>
                <w:szCs w:val="24"/>
              </w:rPr>
              <w:t>jā</w:t>
            </w:r>
            <w:r w:rsidRPr="004A5E34">
              <w:rPr>
                <w:rFonts w:ascii="Times New Roman" w:hAnsi="Times New Roman" w:cs="Times New Roman"/>
                <w:sz w:val="24"/>
                <w:szCs w:val="24"/>
              </w:rPr>
              <w:t>saskaņo ar Latvijas Banku</w:t>
            </w:r>
            <w:r>
              <w:rPr>
                <w:rFonts w:ascii="Times New Roman" w:hAnsi="Times New Roman" w:cs="Times New Roman"/>
                <w:sz w:val="24"/>
                <w:szCs w:val="24"/>
              </w:rPr>
              <w:t>,</w:t>
            </w:r>
            <w:r w:rsidRPr="004A5E34">
              <w:rPr>
                <w:rFonts w:ascii="Times New Roman" w:hAnsi="Times New Roman" w:cs="Times New Roman"/>
                <w:sz w:val="24"/>
                <w:szCs w:val="24"/>
              </w:rPr>
              <w:t xml:space="preserve"> un iespējamo uzskaitījumu par darbībām, kas nebūtu jāsaskaņo ar Latvijas Banku, norād</w:t>
            </w:r>
            <w:r w:rsidR="0029526B">
              <w:rPr>
                <w:rFonts w:ascii="Times New Roman" w:hAnsi="Times New Roman" w:cs="Times New Roman"/>
                <w:sz w:val="24"/>
                <w:szCs w:val="24"/>
              </w:rPr>
              <w:t>a</w:t>
            </w:r>
            <w:r w:rsidRPr="004A5E34">
              <w:rPr>
                <w:rFonts w:ascii="Times New Roman" w:hAnsi="Times New Roman" w:cs="Times New Roman"/>
                <w:sz w:val="24"/>
                <w:szCs w:val="24"/>
              </w:rPr>
              <w:t xml:space="preserve">, ka Latvijas Banka nav noteikusi papildu vai plašākas prasības citā dalībvalstī reģistrētu ieguldījumu fondu ieguldījumu apliecību izplatīšanas kārtībai </w:t>
            </w:r>
            <w:r w:rsidR="0029526B">
              <w:rPr>
                <w:rFonts w:ascii="Times New Roman" w:hAnsi="Times New Roman" w:cs="Times New Roman"/>
                <w:sz w:val="24"/>
                <w:szCs w:val="24"/>
              </w:rPr>
              <w:t xml:space="preserve">par </w:t>
            </w:r>
            <w:r w:rsidRPr="004A5E34">
              <w:rPr>
                <w:rFonts w:ascii="Times New Roman" w:hAnsi="Times New Roman" w:cs="Times New Roman"/>
                <w:sz w:val="24"/>
                <w:szCs w:val="24"/>
              </w:rPr>
              <w:t>tā</w:t>
            </w:r>
            <w:r>
              <w:rPr>
                <w:rFonts w:ascii="Times New Roman" w:hAnsi="Times New Roman" w:cs="Times New Roman"/>
                <w:sz w:val="24"/>
                <w:szCs w:val="24"/>
              </w:rPr>
              <w:t>m</w:t>
            </w:r>
            <w:r w:rsidRPr="004A5E34">
              <w:rPr>
                <w:rFonts w:ascii="Times New Roman" w:hAnsi="Times New Roman" w:cs="Times New Roman"/>
                <w:sz w:val="24"/>
                <w:szCs w:val="24"/>
              </w:rPr>
              <w:t>, kas izriet no Eiropas Parlament</w:t>
            </w:r>
            <w:r>
              <w:rPr>
                <w:rFonts w:ascii="Times New Roman" w:hAnsi="Times New Roman" w:cs="Times New Roman"/>
                <w:sz w:val="24"/>
                <w:szCs w:val="24"/>
              </w:rPr>
              <w:t>a</w:t>
            </w:r>
            <w:r w:rsidRPr="004A5E34">
              <w:rPr>
                <w:rFonts w:ascii="Times New Roman" w:hAnsi="Times New Roman" w:cs="Times New Roman"/>
                <w:sz w:val="24"/>
                <w:szCs w:val="24"/>
              </w:rPr>
              <w:t xml:space="preserve"> un Padomes Direktīvas</w:t>
            </w:r>
            <w:r>
              <w:rPr>
                <w:rFonts w:ascii="Times New Roman" w:hAnsi="Times New Roman" w:cs="Times New Roman"/>
                <w:sz w:val="24"/>
                <w:szCs w:val="24"/>
              </w:rPr>
              <w:t> </w:t>
            </w:r>
            <w:r w:rsidRPr="004A5E34">
              <w:rPr>
                <w:rFonts w:ascii="Times New Roman" w:hAnsi="Times New Roman" w:cs="Times New Roman"/>
                <w:sz w:val="24"/>
                <w:szCs w:val="24"/>
              </w:rPr>
              <w:t>2009/65/EK par normatīvo un administratīvo aktu koordināciju attiecībā uz pārvedamu vērtspapīru kolektīvo ieguldījumu uzņēmumiem (PVKIU)</w:t>
            </w:r>
            <w:r>
              <w:rPr>
                <w:rFonts w:ascii="Times New Roman" w:hAnsi="Times New Roman" w:cs="Times New Roman"/>
                <w:sz w:val="24"/>
                <w:szCs w:val="24"/>
              </w:rPr>
              <w:t xml:space="preserve"> </w:t>
            </w:r>
            <w:r w:rsidRPr="004A5E34">
              <w:rPr>
                <w:rFonts w:ascii="Times New Roman" w:hAnsi="Times New Roman" w:cs="Times New Roman"/>
                <w:sz w:val="24"/>
                <w:szCs w:val="24"/>
              </w:rPr>
              <w:t>93.</w:t>
            </w:r>
            <w:r>
              <w:rPr>
                <w:rFonts w:ascii="Times New Roman" w:hAnsi="Times New Roman" w:cs="Times New Roman"/>
                <w:sz w:val="24"/>
                <w:szCs w:val="24"/>
              </w:rPr>
              <w:t> </w:t>
            </w:r>
            <w:r w:rsidRPr="004A5E34">
              <w:rPr>
                <w:rFonts w:ascii="Times New Roman" w:hAnsi="Times New Roman" w:cs="Times New Roman"/>
                <w:sz w:val="24"/>
                <w:szCs w:val="24"/>
              </w:rPr>
              <w:t>pant</w:t>
            </w:r>
            <w:r w:rsidR="0029526B">
              <w:rPr>
                <w:rFonts w:ascii="Times New Roman" w:hAnsi="Times New Roman" w:cs="Times New Roman"/>
                <w:sz w:val="24"/>
                <w:szCs w:val="24"/>
              </w:rPr>
              <w:t>a</w:t>
            </w:r>
            <w:r w:rsidRPr="004A5E34">
              <w:rPr>
                <w:rFonts w:ascii="Times New Roman" w:hAnsi="Times New Roman" w:cs="Times New Roman"/>
                <w:sz w:val="24"/>
                <w:szCs w:val="24"/>
              </w:rPr>
              <w:t xml:space="preserve"> un attiecīgi </w:t>
            </w:r>
            <w:r>
              <w:rPr>
                <w:rFonts w:ascii="Times New Roman" w:hAnsi="Times New Roman" w:cs="Times New Roman"/>
                <w:sz w:val="24"/>
                <w:szCs w:val="24"/>
              </w:rPr>
              <w:t>ieviest</w:t>
            </w:r>
            <w:r w:rsidR="0029526B">
              <w:rPr>
                <w:rFonts w:ascii="Times New Roman" w:hAnsi="Times New Roman" w:cs="Times New Roman"/>
                <w:sz w:val="24"/>
                <w:szCs w:val="24"/>
              </w:rPr>
              <w:t>a</w:t>
            </w:r>
            <w:r>
              <w:rPr>
                <w:rFonts w:ascii="Times New Roman" w:hAnsi="Times New Roman" w:cs="Times New Roman"/>
                <w:sz w:val="24"/>
                <w:szCs w:val="24"/>
              </w:rPr>
              <w:t xml:space="preserve">s </w:t>
            </w:r>
            <w:r w:rsidRPr="004A5E34">
              <w:rPr>
                <w:rFonts w:ascii="Times New Roman" w:hAnsi="Times New Roman" w:cs="Times New Roman"/>
                <w:sz w:val="24"/>
                <w:szCs w:val="24"/>
              </w:rPr>
              <w:t>Ieguldījumu pārvaldes sabiedrīb</w:t>
            </w:r>
            <w:r>
              <w:rPr>
                <w:rFonts w:ascii="Times New Roman" w:hAnsi="Times New Roman" w:cs="Times New Roman"/>
                <w:sz w:val="24"/>
                <w:szCs w:val="24"/>
              </w:rPr>
              <w:t>u</w:t>
            </w:r>
            <w:r w:rsidRPr="004A5E34">
              <w:rPr>
                <w:rFonts w:ascii="Times New Roman" w:hAnsi="Times New Roman" w:cs="Times New Roman"/>
                <w:sz w:val="24"/>
                <w:szCs w:val="24"/>
              </w:rPr>
              <w:t xml:space="preserve"> likuma</w:t>
            </w:r>
            <w:r>
              <w:rPr>
                <w:rFonts w:ascii="Times New Roman" w:hAnsi="Times New Roman" w:cs="Times New Roman"/>
                <w:sz w:val="24"/>
                <w:szCs w:val="24"/>
              </w:rPr>
              <w:t xml:space="preserve"> </w:t>
            </w:r>
            <w:bookmarkStart w:id="2" w:name="_Hlk207978116"/>
            <w:r w:rsidRPr="004A5E34">
              <w:rPr>
                <w:rFonts w:ascii="Times New Roman" w:hAnsi="Times New Roman" w:cs="Times New Roman"/>
                <w:sz w:val="24"/>
                <w:szCs w:val="24"/>
              </w:rPr>
              <w:t>77.</w:t>
            </w:r>
            <w:r w:rsidRPr="004A5E34">
              <w:rPr>
                <w:rFonts w:ascii="Times New Roman" w:hAnsi="Times New Roman" w:cs="Times New Roman"/>
                <w:sz w:val="24"/>
                <w:szCs w:val="24"/>
                <w:vertAlign w:val="superscript"/>
              </w:rPr>
              <w:t>3</w:t>
            </w:r>
            <w:r w:rsidRPr="004A5E34">
              <w:rPr>
                <w:rFonts w:ascii="Times New Roman" w:hAnsi="Times New Roman" w:cs="Times New Roman"/>
                <w:sz w:val="24"/>
                <w:szCs w:val="24"/>
              </w:rPr>
              <w:t> pantā</w:t>
            </w:r>
            <w:bookmarkEnd w:id="2"/>
            <w:r w:rsidRPr="004A5E34">
              <w:rPr>
                <w:rFonts w:ascii="Times New Roman" w:hAnsi="Times New Roman" w:cs="Times New Roman"/>
                <w:sz w:val="24"/>
                <w:szCs w:val="24"/>
              </w:rPr>
              <w:t>.</w:t>
            </w:r>
          </w:p>
          <w:p w14:paraId="7174B967" w14:textId="77777777" w:rsidR="00CA2E54" w:rsidRPr="004A5E34" w:rsidRDefault="00CA2E54" w:rsidP="005501EB">
            <w:pPr>
              <w:spacing w:after="0" w:line="240" w:lineRule="auto"/>
              <w:jc w:val="both"/>
              <w:rPr>
                <w:rFonts w:ascii="Times New Roman" w:hAnsi="Times New Roman" w:cs="Times New Roman"/>
                <w:sz w:val="24"/>
                <w:szCs w:val="24"/>
              </w:rPr>
            </w:pPr>
          </w:p>
        </w:tc>
      </w:tr>
      <w:tr w:rsidR="00CA2E54" w:rsidRPr="00AF5082" w14:paraId="11AFF454" w14:textId="77777777" w:rsidTr="005501EB">
        <w:tc>
          <w:tcPr>
            <w:tcW w:w="0" w:type="auto"/>
            <w:tcBorders>
              <w:top w:val="single" w:sz="4" w:space="0" w:color="auto"/>
              <w:left w:val="single" w:sz="4" w:space="0" w:color="auto"/>
              <w:bottom w:val="single" w:sz="4" w:space="0" w:color="auto"/>
              <w:right w:val="single" w:sz="4" w:space="0" w:color="auto"/>
            </w:tcBorders>
          </w:tcPr>
          <w:p w14:paraId="731C514D" w14:textId="77777777" w:rsidR="00CA2E54" w:rsidRPr="009009F9" w:rsidRDefault="00CA2E54" w:rsidP="005501EB">
            <w:pPr>
              <w:spacing w:after="0" w:line="240" w:lineRule="auto"/>
              <w:rPr>
                <w:rFonts w:ascii="Times New Roman" w:hAnsi="Times New Roman" w:cs="Times New Roman"/>
                <w:bCs/>
                <w:color w:val="000000" w:themeColor="text1"/>
                <w:sz w:val="24"/>
                <w:szCs w:val="24"/>
              </w:rPr>
            </w:pPr>
            <w:r w:rsidRPr="009009F9">
              <w:rPr>
                <w:rFonts w:ascii="Times New Roman" w:hAnsi="Times New Roman" w:cs="Times New Roman"/>
                <w:bCs/>
                <w:color w:val="000000" w:themeColor="text1"/>
                <w:sz w:val="24"/>
                <w:szCs w:val="24"/>
              </w:rPr>
              <w:lastRenderedPageBreak/>
              <w:t>2.</w:t>
            </w:r>
          </w:p>
        </w:tc>
        <w:tc>
          <w:tcPr>
            <w:tcW w:w="3585" w:type="dxa"/>
            <w:tcBorders>
              <w:top w:val="single" w:sz="4" w:space="0" w:color="auto"/>
              <w:left w:val="single" w:sz="4" w:space="0" w:color="auto"/>
              <w:bottom w:val="single" w:sz="4" w:space="0" w:color="auto"/>
              <w:right w:val="single" w:sz="4" w:space="0" w:color="auto"/>
            </w:tcBorders>
          </w:tcPr>
          <w:p w14:paraId="2067F4B4" w14:textId="58C0926D" w:rsidR="00CA2E54" w:rsidRPr="00C22632" w:rsidRDefault="00CA2E54" w:rsidP="00D27C28">
            <w:pPr>
              <w:spacing w:after="0" w:line="240" w:lineRule="auto"/>
              <w:rPr>
                <w:rFonts w:ascii="Times New Roman" w:hAnsi="Times New Roman" w:cs="Times New Roman"/>
                <w:iCs/>
                <w:color w:val="000000" w:themeColor="text1"/>
                <w:sz w:val="24"/>
                <w:szCs w:val="24"/>
              </w:rPr>
            </w:pPr>
            <w:r w:rsidRPr="00C22632">
              <w:rPr>
                <w:rFonts w:ascii="Times New Roman" w:hAnsi="Times New Roman" w:cs="Times New Roman"/>
                <w:iCs/>
                <w:color w:val="000000" w:themeColor="text1"/>
                <w:sz w:val="24"/>
                <w:szCs w:val="24"/>
              </w:rPr>
              <w:t>Atvērt</w:t>
            </w:r>
            <w:r w:rsidR="000A4EE3">
              <w:rPr>
                <w:rFonts w:ascii="Times New Roman" w:hAnsi="Times New Roman" w:cs="Times New Roman"/>
                <w:iCs/>
                <w:color w:val="000000" w:themeColor="text1"/>
                <w:sz w:val="24"/>
                <w:szCs w:val="24"/>
              </w:rPr>
              <w:t>ā</w:t>
            </w:r>
            <w:r w:rsidRPr="00C22632">
              <w:rPr>
                <w:rFonts w:ascii="Times New Roman" w:hAnsi="Times New Roman" w:cs="Times New Roman"/>
                <w:iCs/>
                <w:color w:val="000000" w:themeColor="text1"/>
                <w:sz w:val="24"/>
                <w:szCs w:val="24"/>
              </w:rPr>
              <w:t xml:space="preserve"> ieguldījumu fond</w:t>
            </w:r>
            <w:r w:rsidR="000A4EE3">
              <w:rPr>
                <w:rFonts w:ascii="Times New Roman" w:hAnsi="Times New Roman" w:cs="Times New Roman"/>
                <w:iCs/>
                <w:color w:val="000000" w:themeColor="text1"/>
                <w:sz w:val="24"/>
                <w:szCs w:val="24"/>
              </w:rPr>
              <w:t>a</w:t>
            </w:r>
            <w:r w:rsidRPr="00C22632">
              <w:rPr>
                <w:rFonts w:ascii="Times New Roman" w:hAnsi="Times New Roman" w:cs="Times New Roman"/>
                <w:iCs/>
                <w:color w:val="000000" w:themeColor="text1"/>
                <w:sz w:val="24"/>
                <w:szCs w:val="24"/>
              </w:rPr>
              <w:t xml:space="preserve"> definīcija</w:t>
            </w:r>
          </w:p>
          <w:p w14:paraId="4F236F70" w14:textId="77777777" w:rsidR="00CA2E54" w:rsidRPr="00AF5082" w:rsidRDefault="00CA2E54" w:rsidP="005501EB">
            <w:pPr>
              <w:spacing w:after="0" w:line="240" w:lineRule="auto"/>
              <w:jc w:val="both"/>
              <w:rPr>
                <w:rFonts w:ascii="Times New Roman" w:hAnsi="Times New Roman" w:cs="Times New Roman"/>
                <w:bCs/>
                <w:iCs/>
                <w:color w:val="000000" w:themeColor="text1"/>
                <w:sz w:val="24"/>
                <w:szCs w:val="24"/>
              </w:rPr>
            </w:pPr>
          </w:p>
        </w:tc>
        <w:tc>
          <w:tcPr>
            <w:tcW w:w="5442" w:type="dxa"/>
            <w:tcBorders>
              <w:top w:val="single" w:sz="4" w:space="0" w:color="auto"/>
              <w:left w:val="single" w:sz="4" w:space="0" w:color="auto"/>
              <w:bottom w:val="single" w:sz="4" w:space="0" w:color="auto"/>
              <w:right w:val="single" w:sz="4" w:space="0" w:color="auto"/>
            </w:tcBorders>
          </w:tcPr>
          <w:p w14:paraId="1D76F18F" w14:textId="77777777" w:rsidR="00CA2E54"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Latvijas Finanšu nozares asociācija</w:t>
            </w:r>
            <w:r>
              <w:rPr>
                <w:rFonts w:ascii="Times New Roman" w:hAnsi="Times New Roman" w:cs="Times New Roman"/>
                <w:color w:val="000000" w:themeColor="text1"/>
                <w:sz w:val="24"/>
                <w:szCs w:val="24"/>
              </w:rPr>
              <w:t xml:space="preserve"> (28.08.2025.):</w:t>
            </w:r>
          </w:p>
          <w:p w14:paraId="771DB491" w14:textId="77777777" w:rsidR="00CA2E54" w:rsidRDefault="00CA2E54" w:rsidP="005501EB">
            <w:pPr>
              <w:spacing w:after="0" w:line="240" w:lineRule="auto"/>
              <w:jc w:val="both"/>
              <w:rPr>
                <w:rFonts w:ascii="Times New Roman" w:hAnsi="Times New Roman" w:cs="Times New Roman"/>
                <w:color w:val="000000" w:themeColor="text1"/>
                <w:sz w:val="24"/>
                <w:szCs w:val="24"/>
              </w:rPr>
            </w:pPr>
          </w:p>
          <w:p w14:paraId="49A512AA" w14:textId="77777777" w:rsidR="00CA2E54" w:rsidRDefault="00CA2E54" w:rsidP="005501EB">
            <w:pPr>
              <w:jc w:val="both"/>
              <w:rPr>
                <w:rFonts w:ascii="Times New Roman" w:hAnsi="Times New Roman" w:cs="Times New Roman"/>
                <w:sz w:val="24"/>
                <w:szCs w:val="24"/>
              </w:rPr>
            </w:pPr>
            <w:r>
              <w:rPr>
                <w:rFonts w:ascii="Times New Roman" w:hAnsi="Times New Roman" w:cs="Times New Roman"/>
                <w:sz w:val="24"/>
                <w:szCs w:val="24"/>
              </w:rPr>
              <w:t>"</w:t>
            </w:r>
            <w:r w:rsidRPr="007B50DF">
              <w:rPr>
                <w:rFonts w:ascii="Times New Roman" w:hAnsi="Times New Roman" w:cs="Times New Roman"/>
                <w:sz w:val="24"/>
                <w:szCs w:val="24"/>
              </w:rPr>
              <w:t xml:space="preserve">Likumā vai noteikumos nepaskaidrojam, kāda veida fondi, ievērojot Latvijas likumu, uzskatāmi par </w:t>
            </w:r>
            <w:r>
              <w:rPr>
                <w:rFonts w:ascii="Times New Roman" w:hAnsi="Times New Roman" w:cs="Times New Roman"/>
                <w:sz w:val="24"/>
                <w:szCs w:val="24"/>
              </w:rPr>
              <w:lastRenderedPageBreak/>
              <w:t>"</w:t>
            </w:r>
            <w:r w:rsidRPr="007B50DF">
              <w:rPr>
                <w:rFonts w:ascii="Times New Roman" w:hAnsi="Times New Roman" w:cs="Times New Roman"/>
                <w:b/>
                <w:bCs/>
                <w:sz w:val="24"/>
                <w:szCs w:val="24"/>
              </w:rPr>
              <w:t>atvērtiem</w:t>
            </w:r>
            <w:r w:rsidRPr="007B50DF">
              <w:rPr>
                <w:rFonts w:ascii="Times New Roman" w:hAnsi="Times New Roman" w:cs="Times New Roman"/>
                <w:sz w:val="24"/>
                <w:szCs w:val="24"/>
              </w:rPr>
              <w:t> ieguldījumu fondiem</w:t>
            </w:r>
            <w:r>
              <w:rPr>
                <w:rFonts w:ascii="Times New Roman" w:hAnsi="Times New Roman" w:cs="Times New Roman"/>
                <w:sz w:val="24"/>
                <w:szCs w:val="24"/>
              </w:rPr>
              <w:t>"</w:t>
            </w:r>
            <w:r w:rsidRPr="007B50DF">
              <w:rPr>
                <w:rFonts w:ascii="Times New Roman" w:hAnsi="Times New Roman" w:cs="Times New Roman"/>
                <w:sz w:val="24"/>
                <w:szCs w:val="24"/>
              </w:rPr>
              <w:t>. Pieņemam,  ka noteikumu projektā atsaucamies uz Ieguldījumu pārvaldes sabiedrību likuma 77.3 pantā minētajiem fondiem. Lūdzam noteikumos iekļaut šī ieguldījumu fondu veida skaidrojumu, kā arī ņemt vērā Direktīvas 93. panta noteikumus par papildu prasību (piemēram, izplatīšanas līguma parakstīšanu) vai papildu administratīvo procedūru neieviešanu fondu pārrobežu pārdošanas veicināšanai (marketing) atbilstoši regulas un pamatnostādņu prasībām.</w:t>
            </w:r>
            <w:r>
              <w:rPr>
                <w:rFonts w:ascii="Times New Roman" w:hAnsi="Times New Roman" w:cs="Times New Roman"/>
                <w:sz w:val="24"/>
                <w:szCs w:val="24"/>
              </w:rPr>
              <w:t>"</w:t>
            </w:r>
          </w:p>
          <w:p w14:paraId="5CC9E47D" w14:textId="77777777" w:rsidR="00CA2E54" w:rsidRDefault="00CA2E54" w:rsidP="005501EB">
            <w:pPr>
              <w:spacing w:after="0" w:line="240" w:lineRule="auto"/>
              <w:jc w:val="both"/>
              <w:rPr>
                <w:rFonts w:ascii="Times New Roman" w:hAnsi="Times New Roman" w:cs="Times New Roman"/>
                <w:color w:val="000000" w:themeColor="text1"/>
                <w:sz w:val="24"/>
                <w:szCs w:val="24"/>
              </w:rPr>
            </w:pPr>
            <w:r w:rsidRPr="00B06BAA">
              <w:rPr>
                <w:rFonts w:ascii="Times New Roman" w:hAnsi="Times New Roman" w:cs="Times New Roman"/>
                <w:color w:val="000000" w:themeColor="text1"/>
                <w:sz w:val="24"/>
                <w:szCs w:val="24"/>
              </w:rPr>
              <w:t>Latvijas Finanšu nozares asociācija</w:t>
            </w:r>
            <w:r>
              <w:rPr>
                <w:rFonts w:ascii="Times New Roman" w:hAnsi="Times New Roman" w:cs="Times New Roman"/>
                <w:color w:val="000000" w:themeColor="text1"/>
                <w:sz w:val="24"/>
                <w:szCs w:val="24"/>
              </w:rPr>
              <w:t xml:space="preserve"> (26.09.2025.):</w:t>
            </w:r>
          </w:p>
          <w:p w14:paraId="484F7C5B" w14:textId="77777777" w:rsidR="00CA2E54" w:rsidRDefault="00CA2E54" w:rsidP="005501EB">
            <w:pPr>
              <w:spacing w:after="0" w:line="240" w:lineRule="auto"/>
              <w:jc w:val="both"/>
              <w:rPr>
                <w:rFonts w:ascii="Times New Roman" w:hAnsi="Times New Roman" w:cs="Times New Roman"/>
                <w:sz w:val="24"/>
                <w:szCs w:val="24"/>
              </w:rPr>
            </w:pPr>
          </w:p>
          <w:p w14:paraId="0903B6F6" w14:textId="3286A97C" w:rsidR="00CA2E54" w:rsidRDefault="00CA2E54" w:rsidP="005501EB">
            <w:pPr>
              <w:spacing w:after="0" w:line="240" w:lineRule="auto"/>
              <w:jc w:val="both"/>
              <w:rPr>
                <w:rFonts w:ascii="Times New Roman" w:hAnsi="Times New Roman" w:cs="Times New Roman"/>
                <w:color w:val="000000" w:themeColor="text1"/>
                <w:sz w:val="24"/>
                <w:szCs w:val="24"/>
              </w:rPr>
            </w:pPr>
            <w:r w:rsidRPr="00B04885">
              <w:rPr>
                <w:rFonts w:ascii="Times New Roman" w:hAnsi="Times New Roman" w:cs="Times New Roman"/>
                <w:sz w:val="24"/>
                <w:szCs w:val="24"/>
              </w:rPr>
              <w:t>Lūdzam rast iespēju precizēt, kāda ir noteikumu grozījumu redakcijā un anotācijā lietoto vārdu “atvērtais ieguldījumu fonds” nozīme, pretējā gadījumā ES tiesību aktos ar šiem vārdiem tiek identificēti tikai alternatīvo ieguldījumu fondu paveidi (</w:t>
            </w:r>
            <w:proofErr w:type="spellStart"/>
            <w:r w:rsidRPr="00B04885">
              <w:rPr>
                <w:rFonts w:ascii="Times New Roman" w:hAnsi="Times New Roman" w:cs="Times New Roman"/>
                <w:i/>
                <w:iCs/>
                <w:sz w:val="24"/>
                <w:szCs w:val="24"/>
              </w:rPr>
              <w:t>open-ended</w:t>
            </w:r>
            <w:proofErr w:type="spellEnd"/>
            <w:r w:rsidRPr="00B04885">
              <w:rPr>
                <w:rFonts w:ascii="Times New Roman" w:hAnsi="Times New Roman" w:cs="Times New Roman"/>
                <w:i/>
                <w:iCs/>
                <w:sz w:val="24"/>
                <w:szCs w:val="24"/>
              </w:rPr>
              <w:t xml:space="preserve"> </w:t>
            </w:r>
            <w:proofErr w:type="spellStart"/>
            <w:r w:rsidRPr="00B04885">
              <w:rPr>
                <w:rFonts w:ascii="Times New Roman" w:hAnsi="Times New Roman" w:cs="Times New Roman"/>
                <w:i/>
                <w:iCs/>
                <w:sz w:val="24"/>
                <w:szCs w:val="24"/>
              </w:rPr>
              <w:t>vs</w:t>
            </w:r>
            <w:proofErr w:type="spellEnd"/>
            <w:r w:rsidRPr="00B04885">
              <w:rPr>
                <w:rFonts w:ascii="Times New Roman" w:hAnsi="Times New Roman" w:cs="Times New Roman"/>
                <w:i/>
                <w:iCs/>
                <w:sz w:val="24"/>
                <w:szCs w:val="24"/>
              </w:rPr>
              <w:t xml:space="preserve"> </w:t>
            </w:r>
            <w:proofErr w:type="spellStart"/>
            <w:r w:rsidRPr="00B04885">
              <w:rPr>
                <w:rFonts w:ascii="Times New Roman" w:hAnsi="Times New Roman" w:cs="Times New Roman"/>
                <w:i/>
                <w:iCs/>
                <w:sz w:val="24"/>
                <w:szCs w:val="24"/>
              </w:rPr>
              <w:t>closed-ended</w:t>
            </w:r>
            <w:proofErr w:type="spellEnd"/>
            <w:r w:rsidRPr="00B04885">
              <w:rPr>
                <w:rFonts w:ascii="Times New Roman" w:hAnsi="Times New Roman" w:cs="Times New Roman"/>
                <w:i/>
                <w:iCs/>
                <w:sz w:val="24"/>
                <w:szCs w:val="24"/>
              </w:rPr>
              <w:t xml:space="preserve"> </w:t>
            </w:r>
            <w:proofErr w:type="spellStart"/>
            <w:r w:rsidRPr="00B04885">
              <w:rPr>
                <w:rFonts w:ascii="Times New Roman" w:hAnsi="Times New Roman" w:cs="Times New Roman"/>
                <w:i/>
                <w:iCs/>
                <w:sz w:val="24"/>
                <w:szCs w:val="24"/>
              </w:rPr>
              <w:t>AIFs</w:t>
            </w:r>
            <w:proofErr w:type="spellEnd"/>
            <w:r w:rsidRPr="00B04885">
              <w:rPr>
                <w:rFonts w:ascii="Times New Roman" w:hAnsi="Times New Roman" w:cs="Times New Roman"/>
                <w:sz w:val="24"/>
                <w:szCs w:val="24"/>
              </w:rPr>
              <w:t>). PVKIU fondu kontekstā šāds termins netiek lietots.</w:t>
            </w:r>
          </w:p>
          <w:p w14:paraId="6E8EAEEA" w14:textId="77777777" w:rsidR="00CA2E54" w:rsidRPr="00AF5082" w:rsidRDefault="00CA2E54" w:rsidP="005501EB">
            <w:pPr>
              <w:spacing w:after="0" w:line="240" w:lineRule="auto"/>
              <w:jc w:val="both"/>
              <w:rPr>
                <w:rFonts w:ascii="Times New Roman" w:hAnsi="Times New Roman" w:cs="Times New Roman"/>
                <w:bCs/>
                <w:iCs/>
                <w:color w:val="000000" w:themeColor="text1"/>
                <w:sz w:val="24"/>
                <w:szCs w:val="24"/>
              </w:rPr>
            </w:pPr>
          </w:p>
        </w:tc>
        <w:tc>
          <w:tcPr>
            <w:tcW w:w="4518" w:type="dxa"/>
            <w:tcBorders>
              <w:top w:val="single" w:sz="4" w:space="0" w:color="auto"/>
              <w:left w:val="single" w:sz="4" w:space="0" w:color="auto"/>
              <w:bottom w:val="single" w:sz="4" w:space="0" w:color="auto"/>
              <w:right w:val="single" w:sz="4" w:space="0" w:color="auto"/>
            </w:tcBorders>
          </w:tcPr>
          <w:p w14:paraId="72D94602" w14:textId="77777777" w:rsidR="00CA2E54" w:rsidRDefault="00CA2E54" w:rsidP="005501EB">
            <w:pPr>
              <w:spacing w:after="0" w:line="240" w:lineRule="auto"/>
              <w:jc w:val="both"/>
              <w:rPr>
                <w:rFonts w:ascii="Times New Roman" w:hAnsi="Times New Roman" w:cs="Times New Roman"/>
                <w:b/>
                <w:bCs/>
                <w:iCs/>
                <w:color w:val="000000" w:themeColor="text1"/>
                <w:sz w:val="24"/>
                <w:szCs w:val="24"/>
              </w:rPr>
            </w:pPr>
            <w:r>
              <w:rPr>
                <w:rFonts w:ascii="Times New Roman" w:hAnsi="Times New Roman" w:cs="Times New Roman"/>
                <w:b/>
                <w:bCs/>
                <w:iCs/>
                <w:color w:val="000000" w:themeColor="text1"/>
                <w:sz w:val="24"/>
                <w:szCs w:val="24"/>
              </w:rPr>
              <w:lastRenderedPageBreak/>
              <w:t>Ņ</w:t>
            </w:r>
            <w:r w:rsidRPr="00AF5082">
              <w:rPr>
                <w:rFonts w:ascii="Times New Roman" w:hAnsi="Times New Roman" w:cs="Times New Roman"/>
                <w:b/>
                <w:bCs/>
                <w:iCs/>
                <w:color w:val="000000" w:themeColor="text1"/>
                <w:sz w:val="24"/>
                <w:szCs w:val="24"/>
              </w:rPr>
              <w:t>emts vērā.</w:t>
            </w:r>
          </w:p>
          <w:p w14:paraId="145FB670" w14:textId="77777777" w:rsidR="00CA2E54" w:rsidRDefault="00CA2E54" w:rsidP="005501EB">
            <w:pPr>
              <w:spacing w:after="0" w:line="240" w:lineRule="auto"/>
              <w:jc w:val="both"/>
              <w:rPr>
                <w:rFonts w:ascii="Times New Roman" w:hAnsi="Times New Roman" w:cs="Times New Roman"/>
                <w:sz w:val="24"/>
                <w:szCs w:val="24"/>
              </w:rPr>
            </w:pPr>
          </w:p>
          <w:p w14:paraId="68A36FF9" w14:textId="6C60657C" w:rsidR="00CA2E54" w:rsidRDefault="00CA2E54" w:rsidP="005501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Noteikumu tekstā vārdi "atvērtais ieguldījumu fonds" un "ieguldījumu fonds" </w:t>
            </w:r>
            <w:r>
              <w:rPr>
                <w:rFonts w:ascii="Times New Roman" w:hAnsi="Times New Roman" w:cs="Times New Roman"/>
                <w:sz w:val="24"/>
                <w:szCs w:val="24"/>
              </w:rPr>
              <w:lastRenderedPageBreak/>
              <w:t xml:space="preserve">tiek aizstāti ar vārdu "fonds" attiecīgajā </w:t>
            </w:r>
            <w:r w:rsidR="0029526B">
              <w:rPr>
                <w:rFonts w:ascii="Times New Roman" w:hAnsi="Times New Roman" w:cs="Times New Roman"/>
                <w:sz w:val="24"/>
                <w:szCs w:val="24"/>
              </w:rPr>
              <w:t xml:space="preserve">skaitlī un </w:t>
            </w:r>
            <w:r>
              <w:rPr>
                <w:rFonts w:ascii="Times New Roman" w:hAnsi="Times New Roman" w:cs="Times New Roman"/>
                <w:sz w:val="24"/>
                <w:szCs w:val="24"/>
              </w:rPr>
              <w:t>locījumā.</w:t>
            </w:r>
          </w:p>
          <w:p w14:paraId="610B8310" w14:textId="77777777" w:rsidR="00CA2E54" w:rsidRPr="006D0DA8" w:rsidRDefault="00CA2E54" w:rsidP="005501EB">
            <w:pPr>
              <w:spacing w:after="0" w:line="240" w:lineRule="auto"/>
              <w:jc w:val="both"/>
              <w:rPr>
                <w:rFonts w:ascii="Times New Roman" w:hAnsi="Times New Roman" w:cs="Times New Roman"/>
                <w:bCs/>
                <w:iCs/>
                <w:color w:val="000000" w:themeColor="text1"/>
                <w:sz w:val="24"/>
                <w:szCs w:val="24"/>
              </w:rPr>
            </w:pPr>
          </w:p>
        </w:tc>
      </w:tr>
    </w:tbl>
    <w:p w14:paraId="263CE321" w14:textId="77777777" w:rsidR="00CA2E54" w:rsidRPr="00482C42" w:rsidRDefault="00CA2E54" w:rsidP="00CA2E54">
      <w:pPr>
        <w:spacing w:after="0" w:line="240" w:lineRule="auto"/>
        <w:rPr>
          <w:rFonts w:ascii="Times New Roman" w:hAnsi="Times New Roman" w:cs="Times New Roman"/>
          <w:color w:val="000000" w:themeColor="text1"/>
          <w:sz w:val="24"/>
          <w:szCs w:val="24"/>
        </w:rPr>
      </w:pPr>
    </w:p>
    <w:p w14:paraId="6922BE31" w14:textId="77777777" w:rsidR="00E53DE9" w:rsidRPr="000B4E0A" w:rsidRDefault="00E53DE9" w:rsidP="00BE74E7">
      <w:pPr>
        <w:spacing w:after="0" w:line="240" w:lineRule="auto"/>
        <w:rPr>
          <w:rFonts w:ascii="Times New Roman" w:hAnsi="Times New Roman" w:cs="Times New Roman"/>
          <w:sz w:val="24"/>
          <w:szCs w:val="24"/>
        </w:rPr>
      </w:pPr>
    </w:p>
    <w:sectPr w:rsidR="00E53DE9" w:rsidRPr="000B4E0A" w:rsidSect="0041314F">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3BFD0" w14:textId="77777777" w:rsidR="005D2315" w:rsidRDefault="005D2315" w:rsidP="009B27BE">
      <w:pPr>
        <w:spacing w:after="0" w:line="240" w:lineRule="auto"/>
      </w:pPr>
      <w:r>
        <w:separator/>
      </w:r>
    </w:p>
  </w:endnote>
  <w:endnote w:type="continuationSeparator" w:id="0">
    <w:p w14:paraId="200EACE6" w14:textId="77777777" w:rsidR="005D2315" w:rsidRDefault="005D2315" w:rsidP="009B27BE">
      <w:pPr>
        <w:spacing w:after="0" w:line="240" w:lineRule="auto"/>
      </w:pPr>
      <w:r>
        <w:continuationSeparator/>
      </w:r>
    </w:p>
  </w:endnote>
  <w:endnote w:type="continuationNotice" w:id="1">
    <w:p w14:paraId="535B09D0" w14:textId="77777777" w:rsidR="005D2315" w:rsidRDefault="005D23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04609" w14:textId="77777777" w:rsidR="009F04B3" w:rsidRDefault="009F0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D4110" w14:textId="77777777" w:rsidR="005D2315" w:rsidRDefault="005D2315" w:rsidP="009B27BE">
      <w:pPr>
        <w:spacing w:after="0" w:line="240" w:lineRule="auto"/>
      </w:pPr>
      <w:r>
        <w:separator/>
      </w:r>
    </w:p>
  </w:footnote>
  <w:footnote w:type="continuationSeparator" w:id="0">
    <w:p w14:paraId="28D16E4D" w14:textId="77777777" w:rsidR="005D2315" w:rsidRDefault="005D2315" w:rsidP="009B27BE">
      <w:pPr>
        <w:spacing w:after="0" w:line="240" w:lineRule="auto"/>
      </w:pPr>
      <w:r>
        <w:continuationSeparator/>
      </w:r>
    </w:p>
  </w:footnote>
  <w:footnote w:type="continuationNotice" w:id="1">
    <w:p w14:paraId="4A1DE340" w14:textId="77777777" w:rsidR="005D2315" w:rsidRDefault="005D23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45D951C1"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D2233DA"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56AA3"/>
    <w:multiLevelType w:val="multilevel"/>
    <w:tmpl w:val="67E41CDC"/>
    <w:lvl w:ilvl="0">
      <w:start w:val="46"/>
      <w:numFmt w:val="decimal"/>
      <w:lvlText w:val="%1."/>
      <w:lvlJc w:val="left"/>
      <w:pPr>
        <w:ind w:left="480" w:hanging="480"/>
      </w:pPr>
      <w:rPr>
        <w:rFonts w:hint="default"/>
      </w:rPr>
    </w:lvl>
    <w:lvl w:ilvl="1">
      <w:start w:val="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EA238E5"/>
    <w:multiLevelType w:val="multilevel"/>
    <w:tmpl w:val="AACCDC70"/>
    <w:lvl w:ilvl="0">
      <w:start w:val="46"/>
      <w:numFmt w:val="decimal"/>
      <w:lvlText w:val="%1."/>
      <w:lvlJc w:val="left"/>
      <w:pPr>
        <w:ind w:left="502" w:hanging="360"/>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642" w:hanging="1080"/>
      </w:pPr>
      <w:rPr>
        <w:rFonts w:hint="default"/>
      </w:rPr>
    </w:lvl>
    <w:lvl w:ilvl="6">
      <w:start w:val="1"/>
      <w:numFmt w:val="decimal"/>
      <w:isLgl/>
      <w:lvlText w:val="%1.%2.%3.%4.%5.%6.%7."/>
      <w:lvlJc w:val="left"/>
      <w:pPr>
        <w:ind w:left="3286" w:hanging="1440"/>
      </w:pPr>
      <w:rPr>
        <w:rFonts w:hint="default"/>
      </w:rPr>
    </w:lvl>
    <w:lvl w:ilvl="7">
      <w:start w:val="1"/>
      <w:numFmt w:val="decimal"/>
      <w:isLgl/>
      <w:lvlText w:val="%1.%2.%3.%4.%5.%6.%7.%8."/>
      <w:lvlJc w:val="left"/>
      <w:pPr>
        <w:ind w:left="3570" w:hanging="1440"/>
      </w:pPr>
      <w:rPr>
        <w:rFonts w:hint="default"/>
      </w:rPr>
    </w:lvl>
    <w:lvl w:ilvl="8">
      <w:start w:val="1"/>
      <w:numFmt w:val="decimal"/>
      <w:isLgl/>
      <w:lvlText w:val="%1.%2.%3.%4.%5.%6.%7.%8.%9."/>
      <w:lvlJc w:val="left"/>
      <w:pPr>
        <w:ind w:left="4214" w:hanging="1800"/>
      </w:pPr>
      <w:rPr>
        <w:rFonts w:hint="default"/>
      </w:rPr>
    </w:lvl>
  </w:abstractNum>
  <w:abstractNum w:abstractNumId="3" w15:restartNumberingAfterBreak="0">
    <w:nsid w:val="3F6D694F"/>
    <w:multiLevelType w:val="multilevel"/>
    <w:tmpl w:val="7616D02A"/>
    <w:lvl w:ilvl="0">
      <w:start w:val="3"/>
      <w:numFmt w:val="decimal"/>
      <w:lvlText w:val="%1."/>
      <w:lvlJc w:val="left"/>
      <w:pPr>
        <w:ind w:left="540" w:hanging="540"/>
      </w:pPr>
      <w:rPr>
        <w:rFonts w:hint="default"/>
        <w:b/>
      </w:rPr>
    </w:lvl>
    <w:lvl w:ilvl="1">
      <w:start w:val="4"/>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1701"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70770D2"/>
    <w:multiLevelType w:val="hybridMultilevel"/>
    <w:tmpl w:val="0586334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66D8382D"/>
    <w:multiLevelType w:val="hybridMultilevel"/>
    <w:tmpl w:val="98EE4A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40552041">
    <w:abstractNumId w:val="4"/>
  </w:num>
  <w:num w:numId="2" w16cid:durableId="1546210371">
    <w:abstractNumId w:val="6"/>
  </w:num>
  <w:num w:numId="3" w16cid:durableId="1747679238">
    <w:abstractNumId w:val="7"/>
  </w:num>
  <w:num w:numId="4" w16cid:durableId="1412435339">
    <w:abstractNumId w:val="1"/>
  </w:num>
  <w:num w:numId="5" w16cid:durableId="1107314734">
    <w:abstractNumId w:val="0"/>
  </w:num>
  <w:num w:numId="6" w16cid:durableId="865873656">
    <w:abstractNumId w:val="3"/>
  </w:num>
  <w:num w:numId="7" w16cid:durableId="1804275727">
    <w:abstractNumId w:val="2"/>
  </w:num>
  <w:num w:numId="8" w16cid:durableId="1690527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AA"/>
    <w:rsid w:val="00005AB2"/>
    <w:rsid w:val="00017E94"/>
    <w:rsid w:val="00022940"/>
    <w:rsid w:val="000263F5"/>
    <w:rsid w:val="0003575E"/>
    <w:rsid w:val="000408F2"/>
    <w:rsid w:val="000451B6"/>
    <w:rsid w:val="00050769"/>
    <w:rsid w:val="0005307F"/>
    <w:rsid w:val="00054AAD"/>
    <w:rsid w:val="00060539"/>
    <w:rsid w:val="0006109F"/>
    <w:rsid w:val="00072FF0"/>
    <w:rsid w:val="0008510E"/>
    <w:rsid w:val="00095DF2"/>
    <w:rsid w:val="00095EC9"/>
    <w:rsid w:val="0009616F"/>
    <w:rsid w:val="000A0B20"/>
    <w:rsid w:val="000A4EE3"/>
    <w:rsid w:val="000B4406"/>
    <w:rsid w:val="000B4E0A"/>
    <w:rsid w:val="000C2F64"/>
    <w:rsid w:val="000D34E2"/>
    <w:rsid w:val="000E41B6"/>
    <w:rsid w:val="000F265A"/>
    <w:rsid w:val="00132070"/>
    <w:rsid w:val="00133F6A"/>
    <w:rsid w:val="00143A48"/>
    <w:rsid w:val="00154A38"/>
    <w:rsid w:val="0018241C"/>
    <w:rsid w:val="0019110B"/>
    <w:rsid w:val="00191B8E"/>
    <w:rsid w:val="001A0BEC"/>
    <w:rsid w:val="001A0F0C"/>
    <w:rsid w:val="001A5171"/>
    <w:rsid w:val="00213113"/>
    <w:rsid w:val="00215340"/>
    <w:rsid w:val="00215975"/>
    <w:rsid w:val="00220DE9"/>
    <w:rsid w:val="00226FE6"/>
    <w:rsid w:val="0022738F"/>
    <w:rsid w:val="00232917"/>
    <w:rsid w:val="00242B6A"/>
    <w:rsid w:val="002547D6"/>
    <w:rsid w:val="00263E1C"/>
    <w:rsid w:val="002703B8"/>
    <w:rsid w:val="0027720B"/>
    <w:rsid w:val="00282E8F"/>
    <w:rsid w:val="0029526B"/>
    <w:rsid w:val="002C0A19"/>
    <w:rsid w:val="002C576C"/>
    <w:rsid w:val="002D3B58"/>
    <w:rsid w:val="00302196"/>
    <w:rsid w:val="00310E3B"/>
    <w:rsid w:val="003159F2"/>
    <w:rsid w:val="003223BB"/>
    <w:rsid w:val="003330A6"/>
    <w:rsid w:val="003344C2"/>
    <w:rsid w:val="0034455D"/>
    <w:rsid w:val="0035446A"/>
    <w:rsid w:val="00367B3B"/>
    <w:rsid w:val="00370452"/>
    <w:rsid w:val="00390B84"/>
    <w:rsid w:val="00397388"/>
    <w:rsid w:val="003A2559"/>
    <w:rsid w:val="003B481B"/>
    <w:rsid w:val="003C2619"/>
    <w:rsid w:val="003C4194"/>
    <w:rsid w:val="003C6E99"/>
    <w:rsid w:val="003C7506"/>
    <w:rsid w:val="003D3F3D"/>
    <w:rsid w:val="003E7B87"/>
    <w:rsid w:val="003F1F2A"/>
    <w:rsid w:val="0040198E"/>
    <w:rsid w:val="0041314F"/>
    <w:rsid w:val="004228A5"/>
    <w:rsid w:val="004424F7"/>
    <w:rsid w:val="00460582"/>
    <w:rsid w:val="004666BE"/>
    <w:rsid w:val="0049248A"/>
    <w:rsid w:val="004A421B"/>
    <w:rsid w:val="004C11D5"/>
    <w:rsid w:val="004C3C46"/>
    <w:rsid w:val="004C6162"/>
    <w:rsid w:val="004D7C81"/>
    <w:rsid w:val="0050213F"/>
    <w:rsid w:val="0051347F"/>
    <w:rsid w:val="00520D46"/>
    <w:rsid w:val="005446F1"/>
    <w:rsid w:val="00550342"/>
    <w:rsid w:val="005677EC"/>
    <w:rsid w:val="00571252"/>
    <w:rsid w:val="00582A72"/>
    <w:rsid w:val="00587A9C"/>
    <w:rsid w:val="00594F95"/>
    <w:rsid w:val="005B035F"/>
    <w:rsid w:val="005B3E28"/>
    <w:rsid w:val="005C2902"/>
    <w:rsid w:val="005C3880"/>
    <w:rsid w:val="005C395E"/>
    <w:rsid w:val="005D2315"/>
    <w:rsid w:val="005D6788"/>
    <w:rsid w:val="005E3DE0"/>
    <w:rsid w:val="005F4754"/>
    <w:rsid w:val="005F6262"/>
    <w:rsid w:val="005F7303"/>
    <w:rsid w:val="0060016E"/>
    <w:rsid w:val="00604D84"/>
    <w:rsid w:val="00613431"/>
    <w:rsid w:val="00621AD5"/>
    <w:rsid w:val="006264AE"/>
    <w:rsid w:val="00642172"/>
    <w:rsid w:val="0064325A"/>
    <w:rsid w:val="00665F86"/>
    <w:rsid w:val="00666937"/>
    <w:rsid w:val="00685579"/>
    <w:rsid w:val="00686DBE"/>
    <w:rsid w:val="006D41C0"/>
    <w:rsid w:val="006E2529"/>
    <w:rsid w:val="0070495B"/>
    <w:rsid w:val="00720F32"/>
    <w:rsid w:val="00733A77"/>
    <w:rsid w:val="0075006A"/>
    <w:rsid w:val="00750971"/>
    <w:rsid w:val="00756820"/>
    <w:rsid w:val="00762188"/>
    <w:rsid w:val="00762371"/>
    <w:rsid w:val="00773BD8"/>
    <w:rsid w:val="0078185C"/>
    <w:rsid w:val="00785770"/>
    <w:rsid w:val="00790CDB"/>
    <w:rsid w:val="00795234"/>
    <w:rsid w:val="00795401"/>
    <w:rsid w:val="007A6721"/>
    <w:rsid w:val="007C3D60"/>
    <w:rsid w:val="007D35C3"/>
    <w:rsid w:val="007E1698"/>
    <w:rsid w:val="007E313B"/>
    <w:rsid w:val="007E7685"/>
    <w:rsid w:val="00810041"/>
    <w:rsid w:val="00824804"/>
    <w:rsid w:val="00826EB0"/>
    <w:rsid w:val="00830BCB"/>
    <w:rsid w:val="008367CF"/>
    <w:rsid w:val="00840EC8"/>
    <w:rsid w:val="008506EA"/>
    <w:rsid w:val="008605B7"/>
    <w:rsid w:val="008701AD"/>
    <w:rsid w:val="00875573"/>
    <w:rsid w:val="00880B27"/>
    <w:rsid w:val="0089364E"/>
    <w:rsid w:val="008A708C"/>
    <w:rsid w:val="008A7DE8"/>
    <w:rsid w:val="008C1C79"/>
    <w:rsid w:val="008C4F17"/>
    <w:rsid w:val="008C7FA5"/>
    <w:rsid w:val="008F0654"/>
    <w:rsid w:val="00903DCE"/>
    <w:rsid w:val="00906212"/>
    <w:rsid w:val="00913C19"/>
    <w:rsid w:val="00920831"/>
    <w:rsid w:val="0092424E"/>
    <w:rsid w:val="00925AED"/>
    <w:rsid w:val="009713E6"/>
    <w:rsid w:val="009830C2"/>
    <w:rsid w:val="009840E0"/>
    <w:rsid w:val="009872A1"/>
    <w:rsid w:val="00992761"/>
    <w:rsid w:val="00992E4F"/>
    <w:rsid w:val="00996668"/>
    <w:rsid w:val="009A23F0"/>
    <w:rsid w:val="009A3F26"/>
    <w:rsid w:val="009B27BE"/>
    <w:rsid w:val="009C100B"/>
    <w:rsid w:val="009D0EF5"/>
    <w:rsid w:val="009D69BC"/>
    <w:rsid w:val="009E076D"/>
    <w:rsid w:val="009F04B3"/>
    <w:rsid w:val="00A0418B"/>
    <w:rsid w:val="00A07172"/>
    <w:rsid w:val="00A118A5"/>
    <w:rsid w:val="00A14246"/>
    <w:rsid w:val="00A42788"/>
    <w:rsid w:val="00A55C83"/>
    <w:rsid w:val="00A8164F"/>
    <w:rsid w:val="00A8534E"/>
    <w:rsid w:val="00A87F14"/>
    <w:rsid w:val="00A962DD"/>
    <w:rsid w:val="00AA44CD"/>
    <w:rsid w:val="00AA6A3D"/>
    <w:rsid w:val="00AB37DA"/>
    <w:rsid w:val="00AB5F64"/>
    <w:rsid w:val="00AC2E5A"/>
    <w:rsid w:val="00AC4A14"/>
    <w:rsid w:val="00AC7BC4"/>
    <w:rsid w:val="00AE002D"/>
    <w:rsid w:val="00AE0F28"/>
    <w:rsid w:val="00B239A5"/>
    <w:rsid w:val="00B30C07"/>
    <w:rsid w:val="00B36625"/>
    <w:rsid w:val="00B406CB"/>
    <w:rsid w:val="00B420BB"/>
    <w:rsid w:val="00B43D47"/>
    <w:rsid w:val="00B62244"/>
    <w:rsid w:val="00B66364"/>
    <w:rsid w:val="00B70B13"/>
    <w:rsid w:val="00B81051"/>
    <w:rsid w:val="00B95DAB"/>
    <w:rsid w:val="00BA0FAF"/>
    <w:rsid w:val="00BA7136"/>
    <w:rsid w:val="00BB17D0"/>
    <w:rsid w:val="00BB5158"/>
    <w:rsid w:val="00BD1FEA"/>
    <w:rsid w:val="00BD2A24"/>
    <w:rsid w:val="00BE74E7"/>
    <w:rsid w:val="00BF35C9"/>
    <w:rsid w:val="00C019D4"/>
    <w:rsid w:val="00C063D4"/>
    <w:rsid w:val="00C65AFE"/>
    <w:rsid w:val="00C66DBE"/>
    <w:rsid w:val="00C778E3"/>
    <w:rsid w:val="00C85C34"/>
    <w:rsid w:val="00CA28AB"/>
    <w:rsid w:val="00CA2E54"/>
    <w:rsid w:val="00CA5D47"/>
    <w:rsid w:val="00CB1F9D"/>
    <w:rsid w:val="00CB487D"/>
    <w:rsid w:val="00CB523F"/>
    <w:rsid w:val="00CC5E5F"/>
    <w:rsid w:val="00CD38B4"/>
    <w:rsid w:val="00CD3A2B"/>
    <w:rsid w:val="00CD3CF1"/>
    <w:rsid w:val="00CD493C"/>
    <w:rsid w:val="00CD57B2"/>
    <w:rsid w:val="00CE3CB6"/>
    <w:rsid w:val="00CE7D2F"/>
    <w:rsid w:val="00D005B1"/>
    <w:rsid w:val="00D01C6A"/>
    <w:rsid w:val="00D145BA"/>
    <w:rsid w:val="00D17D5D"/>
    <w:rsid w:val="00D24188"/>
    <w:rsid w:val="00D27C28"/>
    <w:rsid w:val="00D31EB9"/>
    <w:rsid w:val="00D37B68"/>
    <w:rsid w:val="00D4427C"/>
    <w:rsid w:val="00D508D3"/>
    <w:rsid w:val="00D55B0F"/>
    <w:rsid w:val="00D611F4"/>
    <w:rsid w:val="00D856CC"/>
    <w:rsid w:val="00D90D68"/>
    <w:rsid w:val="00DA7DE3"/>
    <w:rsid w:val="00DB7E8A"/>
    <w:rsid w:val="00DC56C4"/>
    <w:rsid w:val="00DD4B86"/>
    <w:rsid w:val="00DE1B71"/>
    <w:rsid w:val="00DE54D1"/>
    <w:rsid w:val="00E026FA"/>
    <w:rsid w:val="00E04474"/>
    <w:rsid w:val="00E13254"/>
    <w:rsid w:val="00E13764"/>
    <w:rsid w:val="00E253DA"/>
    <w:rsid w:val="00E25455"/>
    <w:rsid w:val="00E350D1"/>
    <w:rsid w:val="00E357E0"/>
    <w:rsid w:val="00E43323"/>
    <w:rsid w:val="00E4608B"/>
    <w:rsid w:val="00E53DE9"/>
    <w:rsid w:val="00E60064"/>
    <w:rsid w:val="00E61C41"/>
    <w:rsid w:val="00E638EE"/>
    <w:rsid w:val="00E66DFA"/>
    <w:rsid w:val="00E705E5"/>
    <w:rsid w:val="00E94059"/>
    <w:rsid w:val="00EB261C"/>
    <w:rsid w:val="00EB50BB"/>
    <w:rsid w:val="00EB78E7"/>
    <w:rsid w:val="00EC4CD4"/>
    <w:rsid w:val="00EC6495"/>
    <w:rsid w:val="00ED04BE"/>
    <w:rsid w:val="00EE0651"/>
    <w:rsid w:val="00EF330D"/>
    <w:rsid w:val="00EF5F14"/>
    <w:rsid w:val="00EF71A5"/>
    <w:rsid w:val="00F13F3A"/>
    <w:rsid w:val="00F369A0"/>
    <w:rsid w:val="00F662A6"/>
    <w:rsid w:val="00F679C8"/>
    <w:rsid w:val="00F83BB4"/>
    <w:rsid w:val="00F86E2F"/>
    <w:rsid w:val="00F934C4"/>
    <w:rsid w:val="00FA4B91"/>
    <w:rsid w:val="00FB0B86"/>
    <w:rsid w:val="00FB22D3"/>
    <w:rsid w:val="00FB5CAA"/>
    <w:rsid w:val="00FE23F8"/>
    <w:rsid w:val="00FE5F2E"/>
    <w:rsid w:val="00FF7D7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A2C54"/>
  <w15:chartTrackingRefBased/>
  <w15:docId w15:val="{C9E8BCE9-6E21-4B5C-AA9A-DBC7D307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232917"/>
    <w:pPr>
      <w:ind w:left="720"/>
      <w:contextualSpacing/>
    </w:pPr>
  </w:style>
  <w:style w:type="paragraph" w:customStyle="1" w:styleId="NApunkts1">
    <w:name w:val="NA punkts 1"/>
    <w:basedOn w:val="Normal"/>
    <w:link w:val="NApunkts1Rakstz"/>
    <w:qFormat/>
    <w:rsid w:val="00232917"/>
    <w:pPr>
      <w:numPr>
        <w:numId w:val="1"/>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232917"/>
    <w:pPr>
      <w:keepLines/>
      <w:numPr>
        <w:ilvl w:val="1"/>
        <w:numId w:val="1"/>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32917"/>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32917"/>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925AED"/>
    <w:rPr>
      <w:rFonts w:ascii="Segoe UI" w:hAnsi="Segoe UI" w:cs="Segoe UI" w:hint="default"/>
      <w:sz w:val="18"/>
      <w:szCs w:val="18"/>
    </w:rPr>
  </w:style>
  <w:style w:type="character" w:styleId="CommentReference">
    <w:name w:val="annotation reference"/>
    <w:basedOn w:val="DefaultParagraphFont"/>
    <w:uiPriority w:val="99"/>
    <w:semiHidden/>
    <w:unhideWhenUsed/>
    <w:rsid w:val="000D34E2"/>
    <w:rPr>
      <w:sz w:val="16"/>
      <w:szCs w:val="16"/>
    </w:rPr>
  </w:style>
  <w:style w:type="paragraph" w:styleId="CommentText">
    <w:name w:val="annotation text"/>
    <w:basedOn w:val="Normal"/>
    <w:link w:val="CommentTextChar"/>
    <w:uiPriority w:val="99"/>
    <w:unhideWhenUsed/>
    <w:rsid w:val="000D34E2"/>
    <w:pPr>
      <w:spacing w:line="240" w:lineRule="auto"/>
    </w:pPr>
    <w:rPr>
      <w:sz w:val="20"/>
      <w:szCs w:val="20"/>
    </w:rPr>
  </w:style>
  <w:style w:type="character" w:customStyle="1" w:styleId="CommentTextChar">
    <w:name w:val="Comment Text Char"/>
    <w:basedOn w:val="DefaultParagraphFont"/>
    <w:link w:val="CommentText"/>
    <w:uiPriority w:val="99"/>
    <w:rsid w:val="000D34E2"/>
    <w:rPr>
      <w:sz w:val="20"/>
      <w:szCs w:val="20"/>
    </w:rPr>
  </w:style>
  <w:style w:type="paragraph" w:styleId="CommentSubject">
    <w:name w:val="annotation subject"/>
    <w:basedOn w:val="CommentText"/>
    <w:next w:val="CommentText"/>
    <w:link w:val="CommentSubjectChar"/>
    <w:uiPriority w:val="99"/>
    <w:semiHidden/>
    <w:unhideWhenUsed/>
    <w:rsid w:val="000D34E2"/>
    <w:rPr>
      <w:b/>
      <w:bCs/>
    </w:rPr>
  </w:style>
  <w:style w:type="character" w:customStyle="1" w:styleId="CommentSubjectChar">
    <w:name w:val="Comment Subject Char"/>
    <w:basedOn w:val="CommentTextChar"/>
    <w:link w:val="CommentSubject"/>
    <w:uiPriority w:val="99"/>
    <w:semiHidden/>
    <w:rsid w:val="000D34E2"/>
    <w:rPr>
      <w:b/>
      <w:bCs/>
      <w:sz w:val="20"/>
      <w:szCs w:val="20"/>
    </w:rPr>
  </w:style>
  <w:style w:type="paragraph" w:styleId="Revision">
    <w:name w:val="Revision"/>
    <w:hidden/>
    <w:uiPriority w:val="99"/>
    <w:semiHidden/>
    <w:rsid w:val="00242B6A"/>
    <w:pPr>
      <w:spacing w:after="0" w:line="240" w:lineRule="auto"/>
    </w:pPr>
  </w:style>
  <w:style w:type="character" w:customStyle="1" w:styleId="NApunkts1Rakstz">
    <w:name w:val="NA punkts 1 Rakstz."/>
    <w:basedOn w:val="DefaultParagraphFont"/>
    <w:link w:val="NApunkts1"/>
    <w:rsid w:val="00022940"/>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022940"/>
    <w:rPr>
      <w:color w:val="0563C1" w:themeColor="hyperlink"/>
      <w:u w:val="single"/>
    </w:rPr>
  </w:style>
  <w:style w:type="character" w:styleId="UnresolvedMention">
    <w:name w:val="Unresolved Mention"/>
    <w:basedOn w:val="DefaultParagraphFont"/>
    <w:uiPriority w:val="99"/>
    <w:semiHidden/>
    <w:unhideWhenUsed/>
    <w:rsid w:val="00983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657542033">
      <w:bodyDiv w:val="1"/>
      <w:marLeft w:val="0"/>
      <w:marRight w:val="0"/>
      <w:marTop w:val="0"/>
      <w:marBottom w:val="0"/>
      <w:divBdr>
        <w:top w:val="none" w:sz="0" w:space="0" w:color="auto"/>
        <w:left w:val="none" w:sz="0" w:space="0" w:color="auto"/>
        <w:bottom w:val="none" w:sz="0" w:space="0" w:color="auto"/>
        <w:right w:val="none" w:sz="0" w:space="0" w:color="auto"/>
      </w:divBdr>
    </w:div>
    <w:div w:id="668021437">
      <w:bodyDiv w:val="1"/>
      <w:marLeft w:val="0"/>
      <w:marRight w:val="0"/>
      <w:marTop w:val="0"/>
      <w:marBottom w:val="0"/>
      <w:divBdr>
        <w:top w:val="none" w:sz="0" w:space="0" w:color="auto"/>
        <w:left w:val="none" w:sz="0" w:space="0" w:color="auto"/>
        <w:bottom w:val="none" w:sz="0" w:space="0" w:color="auto"/>
        <w:right w:val="none" w:sz="0" w:space="0" w:color="auto"/>
      </w:divBdr>
    </w:div>
    <w:div w:id="1527408181">
      <w:bodyDiv w:val="1"/>
      <w:marLeft w:val="0"/>
      <w:marRight w:val="0"/>
      <w:marTop w:val="0"/>
      <w:marBottom w:val="0"/>
      <w:divBdr>
        <w:top w:val="none" w:sz="0" w:space="0" w:color="auto"/>
        <w:left w:val="none" w:sz="0" w:space="0" w:color="auto"/>
        <w:bottom w:val="none" w:sz="0" w:space="0" w:color="auto"/>
        <w:right w:val="none" w:sz="0" w:space="0" w:color="auto"/>
      </w:divBdr>
    </w:div>
    <w:div w:id="209624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sma.europa.eu/sites/default/files/library/esma34-45-1576_-_publication_on_cross-border_distribution_of_fund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0</TotalTime>
  <Pages>12</Pages>
  <Words>12632</Words>
  <Characters>7201</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Elīna Dejus</dc:creator>
  <cp:keywords/>
  <dc:description/>
  <cp:lastModifiedBy>Ilze Grava</cp:lastModifiedBy>
  <cp:revision>3</cp:revision>
  <dcterms:created xsi:type="dcterms:W3CDTF">2025-10-29T15:04:00Z</dcterms:created>
  <dcterms:modified xsi:type="dcterms:W3CDTF">2025-10-29T15:12:00Z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